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4C" w:rsidRDefault="00BB4F4C" w:rsidP="00AC5770">
      <w:pPr>
        <w:pStyle w:val="a3"/>
        <w:widowControl w:val="0"/>
        <w:ind w:firstLine="0"/>
        <w:jc w:val="center"/>
        <w:rPr>
          <w:rFonts w:ascii="Arial" w:hAnsi="Arial" w:cs="Arial"/>
          <w:b/>
          <w:i w:val="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i w:val="0"/>
          <w:sz w:val="28"/>
          <w:szCs w:val="28"/>
        </w:rPr>
        <w:t>Требования к оформлению статьи</w:t>
      </w:r>
    </w:p>
    <w:p w:rsidR="0070416E" w:rsidRPr="00A00C14" w:rsidRDefault="0070416E" w:rsidP="0070416E">
      <w:pPr>
        <w:pStyle w:val="a3"/>
        <w:widowControl w:val="0"/>
        <w:ind w:firstLine="0"/>
        <w:jc w:val="left"/>
        <w:rPr>
          <w:rFonts w:ascii="Arial" w:hAnsi="Arial" w:cs="Arial"/>
          <w:b/>
          <w:i w:val="0"/>
          <w:sz w:val="28"/>
          <w:szCs w:val="28"/>
        </w:rPr>
      </w:pPr>
    </w:p>
    <w:p w:rsidR="0070416E" w:rsidRPr="00F66D41" w:rsidRDefault="0070416E" w:rsidP="0070416E">
      <w:pPr>
        <w:pStyle w:val="a3"/>
        <w:widowControl w:val="0"/>
        <w:ind w:firstLine="0"/>
        <w:jc w:val="left"/>
        <w:rPr>
          <w:rFonts w:ascii="Arial" w:hAnsi="Arial" w:cs="Arial"/>
          <w:b/>
          <w:i w:val="0"/>
          <w:sz w:val="28"/>
          <w:szCs w:val="28"/>
        </w:rPr>
      </w:pPr>
      <w:r w:rsidRPr="00CA5198">
        <w:rPr>
          <w:rFonts w:ascii="Arial" w:hAnsi="Arial" w:cs="Arial"/>
          <w:b/>
          <w:i w:val="0"/>
          <w:sz w:val="28"/>
          <w:szCs w:val="28"/>
        </w:rPr>
        <w:t xml:space="preserve">Объем </w:t>
      </w:r>
      <w:r>
        <w:rPr>
          <w:rFonts w:ascii="Arial" w:hAnsi="Arial" w:cs="Arial"/>
          <w:b/>
          <w:i w:val="0"/>
          <w:sz w:val="28"/>
          <w:szCs w:val="28"/>
        </w:rPr>
        <w:t xml:space="preserve">статьи </w:t>
      </w:r>
      <w:r w:rsidRPr="00CA5198">
        <w:rPr>
          <w:rFonts w:ascii="Arial" w:hAnsi="Arial" w:cs="Arial"/>
          <w:b/>
          <w:i w:val="0"/>
          <w:sz w:val="28"/>
          <w:szCs w:val="28"/>
        </w:rPr>
        <w:t xml:space="preserve">не должен превышать </w:t>
      </w:r>
      <w:r w:rsidR="009929DC">
        <w:rPr>
          <w:rFonts w:ascii="Arial" w:hAnsi="Arial" w:cs="Arial"/>
          <w:b/>
          <w:i w:val="0"/>
          <w:sz w:val="28"/>
          <w:szCs w:val="28"/>
        </w:rPr>
        <w:t>10</w:t>
      </w:r>
      <w:r w:rsidRPr="00CA5198">
        <w:rPr>
          <w:rFonts w:ascii="Arial" w:hAnsi="Arial" w:cs="Arial"/>
          <w:b/>
          <w:i w:val="0"/>
          <w:sz w:val="28"/>
          <w:szCs w:val="28"/>
        </w:rPr>
        <w:t xml:space="preserve"> страниц.</w:t>
      </w:r>
    </w:p>
    <w:p w:rsidR="0070416E" w:rsidRPr="0070416E" w:rsidRDefault="0070416E" w:rsidP="0070416E">
      <w:pPr>
        <w:pStyle w:val="a3"/>
        <w:widowControl w:val="0"/>
        <w:ind w:firstLine="0"/>
        <w:jc w:val="left"/>
        <w:rPr>
          <w:rFonts w:ascii="Arial" w:hAnsi="Arial" w:cs="Arial"/>
          <w:b/>
          <w:i w:val="0"/>
          <w:sz w:val="28"/>
          <w:szCs w:val="28"/>
        </w:rPr>
      </w:pPr>
      <w:r w:rsidRPr="006B65B2">
        <w:rPr>
          <w:rFonts w:ascii="Arial" w:hAnsi="Arial" w:cs="Arial"/>
          <w:b/>
          <w:i w:val="0"/>
          <w:sz w:val="28"/>
          <w:szCs w:val="28"/>
        </w:rPr>
        <w:t>Страницы не нумеруются.</w:t>
      </w:r>
    </w:p>
    <w:p w:rsidR="0070416E" w:rsidRPr="0070416E" w:rsidRDefault="0070416E" w:rsidP="0070416E">
      <w:pPr>
        <w:pStyle w:val="a3"/>
        <w:widowControl w:val="0"/>
        <w:ind w:firstLine="0"/>
        <w:jc w:val="left"/>
        <w:rPr>
          <w:rFonts w:ascii="Arial" w:hAnsi="Arial" w:cs="Arial"/>
          <w:b/>
          <w:i w:val="0"/>
          <w:sz w:val="28"/>
          <w:szCs w:val="28"/>
        </w:rPr>
      </w:pPr>
      <w:r w:rsidRPr="0070416E">
        <w:rPr>
          <w:rFonts w:ascii="Arial" w:hAnsi="Arial" w:cs="Arial"/>
          <w:b/>
          <w:i w:val="0"/>
          <w:sz w:val="28"/>
          <w:szCs w:val="28"/>
        </w:rPr>
        <w:t>Размер полей: сверху, снизу, слева, справа 2 см.</w:t>
      </w:r>
    </w:p>
    <w:p w:rsidR="0070416E" w:rsidRPr="0070416E" w:rsidRDefault="0070416E" w:rsidP="00AC5770">
      <w:pPr>
        <w:pStyle w:val="a3"/>
        <w:widowControl w:val="0"/>
        <w:ind w:firstLine="0"/>
        <w:jc w:val="left"/>
        <w:rPr>
          <w:rFonts w:ascii="Arial" w:hAnsi="Arial" w:cs="Arial"/>
          <w:b/>
          <w:i w:val="0"/>
          <w:sz w:val="28"/>
          <w:szCs w:val="28"/>
        </w:rPr>
      </w:pPr>
    </w:p>
    <w:p w:rsidR="00BB4F4C" w:rsidRDefault="00BB4F4C" w:rsidP="00A00C14">
      <w:pPr>
        <w:pStyle w:val="a3"/>
        <w:widowControl w:val="0"/>
        <w:ind w:firstLine="567"/>
        <w:jc w:val="left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>Структура статьи:</w:t>
      </w:r>
    </w:p>
    <w:p w:rsidR="00BB4F4C" w:rsidRDefault="00BB4F4C" w:rsidP="00AC5770">
      <w:pPr>
        <w:pStyle w:val="a3"/>
        <w:widowControl w:val="0"/>
        <w:numPr>
          <w:ilvl w:val="0"/>
          <w:numId w:val="1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Перед текстом указывается индекс УДК (</w:t>
      </w:r>
      <w:r>
        <w:rPr>
          <w:rFonts w:ascii="Arial" w:hAnsi="Arial" w:cs="Arial"/>
          <w:i w:val="0"/>
          <w:sz w:val="28"/>
          <w:szCs w:val="28"/>
          <w:lang w:val="en-US"/>
        </w:rPr>
        <w:t>Arial</w:t>
      </w:r>
      <w:r>
        <w:rPr>
          <w:rFonts w:ascii="Arial" w:hAnsi="Arial" w:cs="Arial"/>
          <w:i w:val="0"/>
          <w:sz w:val="28"/>
          <w:szCs w:val="28"/>
        </w:rPr>
        <w:t>, 14 пт, выравнивание по левому краю);</w:t>
      </w:r>
    </w:p>
    <w:p w:rsidR="00BB4F4C" w:rsidRDefault="00BB4F4C" w:rsidP="00AC5770">
      <w:pPr>
        <w:pStyle w:val="a3"/>
        <w:widowControl w:val="0"/>
        <w:numPr>
          <w:ilvl w:val="0"/>
          <w:numId w:val="1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Пропустив две строки – название статьи прописными буквами (</w:t>
      </w:r>
      <w:r>
        <w:rPr>
          <w:rFonts w:ascii="Arial" w:hAnsi="Arial" w:cs="Arial"/>
          <w:i w:val="0"/>
          <w:sz w:val="28"/>
          <w:szCs w:val="28"/>
          <w:lang w:val="en-US"/>
        </w:rPr>
        <w:t>Arial</w:t>
      </w:r>
      <w:r>
        <w:rPr>
          <w:rFonts w:ascii="Arial" w:hAnsi="Arial" w:cs="Arial"/>
          <w:i w:val="0"/>
          <w:sz w:val="28"/>
          <w:szCs w:val="28"/>
        </w:rPr>
        <w:t>, 14 пт, полужирный, по центру);</w:t>
      </w:r>
    </w:p>
    <w:p w:rsidR="00BB4F4C" w:rsidRDefault="00BB4F4C" w:rsidP="00AC5770">
      <w:pPr>
        <w:pStyle w:val="a3"/>
        <w:widowControl w:val="0"/>
        <w:numPr>
          <w:ilvl w:val="0"/>
          <w:numId w:val="1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Пропустив строку – симметрично по центру – фамилия и инициалы авторов, без указания степени и звания (</w:t>
      </w:r>
      <w:r>
        <w:rPr>
          <w:rFonts w:ascii="Arial" w:hAnsi="Arial" w:cs="Arial"/>
          <w:i w:val="0"/>
          <w:sz w:val="28"/>
          <w:szCs w:val="28"/>
          <w:lang w:val="en-US"/>
        </w:rPr>
        <w:t>Arial</w:t>
      </w:r>
      <w:r>
        <w:rPr>
          <w:rFonts w:ascii="Arial" w:hAnsi="Arial" w:cs="Arial"/>
          <w:i w:val="0"/>
          <w:sz w:val="28"/>
          <w:szCs w:val="28"/>
        </w:rPr>
        <w:t>, 14 пт)</w:t>
      </w:r>
      <w:r w:rsidR="00523BDB">
        <w:rPr>
          <w:rFonts w:ascii="Arial" w:hAnsi="Arial" w:cs="Arial"/>
          <w:i w:val="0"/>
          <w:sz w:val="28"/>
          <w:szCs w:val="28"/>
        </w:rPr>
        <w:t>,</w:t>
      </w:r>
      <w:r>
        <w:rPr>
          <w:rFonts w:ascii="Arial" w:hAnsi="Arial" w:cs="Arial"/>
          <w:i w:val="0"/>
          <w:sz w:val="28"/>
          <w:szCs w:val="28"/>
        </w:rPr>
        <w:t xml:space="preserve"> (у фамилии докладчика сделать </w:t>
      </w:r>
      <w:r w:rsidRPr="009929DC">
        <w:rPr>
          <w:rFonts w:ascii="Arial" w:hAnsi="Arial" w:cs="Arial"/>
          <w:b/>
          <w:i w:val="0"/>
          <w:sz w:val="28"/>
          <w:szCs w:val="28"/>
        </w:rPr>
        <w:t xml:space="preserve">сноску </w:t>
      </w:r>
      <w:r w:rsidR="00B317C3" w:rsidRPr="009929DC">
        <w:rPr>
          <w:rFonts w:ascii="Arial" w:hAnsi="Arial" w:cs="Arial"/>
          <w:b/>
          <w:i w:val="0"/>
          <w:sz w:val="28"/>
          <w:szCs w:val="28"/>
        </w:rPr>
        <w:t>(*)</w:t>
      </w:r>
      <w:r w:rsidR="00523BDB">
        <w:rPr>
          <w:rFonts w:ascii="Arial" w:hAnsi="Arial" w:cs="Arial"/>
          <w:i w:val="0"/>
          <w:sz w:val="28"/>
          <w:szCs w:val="28"/>
        </w:rPr>
        <w:t xml:space="preserve"> </w:t>
      </w:r>
      <w:r>
        <w:rPr>
          <w:rFonts w:ascii="Arial" w:hAnsi="Arial" w:cs="Arial"/>
          <w:i w:val="0"/>
          <w:sz w:val="28"/>
          <w:szCs w:val="28"/>
        </w:rPr>
        <w:t>– название организации, город, страна, e-mail, (</w:t>
      </w:r>
      <w:r>
        <w:rPr>
          <w:rFonts w:ascii="Arial" w:hAnsi="Arial" w:cs="Arial"/>
          <w:i w:val="0"/>
          <w:sz w:val="28"/>
          <w:szCs w:val="28"/>
          <w:lang w:val="en-US"/>
        </w:rPr>
        <w:t>Arial</w:t>
      </w:r>
      <w:r>
        <w:rPr>
          <w:rFonts w:ascii="Arial" w:hAnsi="Arial" w:cs="Arial"/>
          <w:i w:val="0"/>
          <w:sz w:val="28"/>
          <w:szCs w:val="28"/>
        </w:rPr>
        <w:t>, 12 пт).</w:t>
      </w:r>
    </w:p>
    <w:p w:rsidR="00BB4F4C" w:rsidRDefault="00BB4F4C" w:rsidP="00AC5770">
      <w:pPr>
        <w:pStyle w:val="a3"/>
        <w:widowControl w:val="0"/>
        <w:numPr>
          <w:ilvl w:val="0"/>
          <w:numId w:val="1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В конце статьи – список используемой литературы. </w:t>
      </w:r>
    </w:p>
    <w:p w:rsidR="00CA5198" w:rsidRPr="00F66D41" w:rsidRDefault="00CA5198" w:rsidP="00A00C14">
      <w:pPr>
        <w:pStyle w:val="a3"/>
        <w:widowControl w:val="0"/>
        <w:ind w:firstLine="567"/>
        <w:rPr>
          <w:rFonts w:ascii="Arial" w:hAnsi="Arial" w:cs="Arial"/>
          <w:b/>
          <w:i w:val="0"/>
          <w:sz w:val="28"/>
          <w:szCs w:val="28"/>
        </w:rPr>
      </w:pPr>
    </w:p>
    <w:p w:rsidR="00BB4F4C" w:rsidRDefault="00BB4F4C" w:rsidP="00A00C14">
      <w:pPr>
        <w:pStyle w:val="a3"/>
        <w:widowControl w:val="0"/>
        <w:ind w:firstLine="567"/>
        <w:jc w:val="left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>Форматирование:</w:t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Набирайте текст в режиме отображения непечатаемых знаков (он включается кнопкой «Непечатаемые знаки»</w:t>
      </w:r>
      <w:r w:rsidR="00EA74FB" w:rsidRPr="00DE0852">
        <w:rPr>
          <w:rFonts w:ascii="Arial" w:hAnsi="Arial" w:cs="Arial"/>
          <w:i w:val="0"/>
          <w:noProof/>
          <w:sz w:val="28"/>
          <w:szCs w:val="28"/>
        </w:rPr>
        <w:drawing>
          <wp:inline distT="0" distB="0" distL="0" distR="0">
            <wp:extent cx="2381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 w:val="0"/>
          <w:sz w:val="28"/>
          <w:szCs w:val="28"/>
        </w:rPr>
        <w:t>) – это поможет избежать лишних пробелов между словами и лишних символов абзаца между абзацами.</w:t>
      </w:r>
    </w:p>
    <w:p w:rsidR="00BB4F4C" w:rsidRDefault="00523BDB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Использовать перенос слов.</w:t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Число и размерность и некоторые другие сочетания знаков, чисел, букв всегда должны быть вместе (это важно при переходе на другую строку), для этого используйте «Неразрывный пробел» (неразрывный пробел вставляется одновременным нажатием на клавиши: “Ctrl”+”Shift”+”пробел”). Пример, 2342 кВт, № 345, рис. 234 и т.д.</w:t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ind w:left="1416" w:hanging="516"/>
        <w:jc w:val="left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Пользуйтесь стилем </w:t>
      </w:r>
      <w:r>
        <w:rPr>
          <w:rFonts w:ascii="Arial" w:hAnsi="Arial" w:cs="Arial"/>
          <w:i w:val="0"/>
          <w:sz w:val="28"/>
          <w:szCs w:val="28"/>
          <w:lang w:val="en-US"/>
        </w:rPr>
        <w:t>Arial</w:t>
      </w:r>
      <w:r>
        <w:rPr>
          <w:rFonts w:ascii="Arial" w:hAnsi="Arial" w:cs="Arial"/>
          <w:i w:val="0"/>
          <w:sz w:val="28"/>
          <w:szCs w:val="28"/>
        </w:rPr>
        <w:t xml:space="preserve">, размер шрифта 14 пт. Желательно различать тире («–» </w:t>
      </w:r>
      <w:r>
        <w:rPr>
          <w:rFonts w:ascii="Arial" w:hAnsi="Arial" w:cs="Arial"/>
          <w:i w:val="0"/>
          <w:sz w:val="28"/>
          <w:szCs w:val="28"/>
          <w:lang w:val="en-US"/>
        </w:rPr>
        <w:t>CTRL</w:t>
      </w:r>
      <w:r w:rsidRPr="00C26F55">
        <w:rPr>
          <w:rFonts w:ascii="Arial" w:hAnsi="Arial" w:cs="Arial"/>
          <w:i w:val="0"/>
          <w:sz w:val="28"/>
          <w:szCs w:val="28"/>
        </w:rPr>
        <w:t>+</w:t>
      </w:r>
      <w:r>
        <w:rPr>
          <w:rFonts w:ascii="Arial" w:hAnsi="Arial" w:cs="Arial"/>
          <w:i w:val="0"/>
          <w:sz w:val="28"/>
          <w:szCs w:val="28"/>
          <w:lang w:val="en-US"/>
        </w:rPr>
        <w:t>NumLook</w:t>
      </w:r>
      <w:r w:rsidRPr="00C26F55">
        <w:rPr>
          <w:rFonts w:ascii="Arial" w:hAnsi="Arial" w:cs="Arial"/>
          <w:i w:val="0"/>
          <w:sz w:val="28"/>
          <w:szCs w:val="28"/>
        </w:rPr>
        <w:t>+</w:t>
      </w:r>
      <w:r>
        <w:rPr>
          <w:rFonts w:ascii="Arial" w:hAnsi="Arial" w:cs="Arial"/>
          <w:i w:val="0"/>
          <w:sz w:val="28"/>
          <w:szCs w:val="28"/>
        </w:rPr>
        <w:t>Минус на дополнительной клавиатуре справа) и дефис (минус).</w:t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ind w:left="1416" w:hanging="516"/>
        <w:jc w:val="left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Диапазон чисел пишется через тире без окружающих пробелов (например, 234–423).</w:t>
      </w:r>
    </w:p>
    <w:p w:rsidR="00BB4F4C" w:rsidRPr="006C7F65" w:rsidRDefault="008D54DC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А</w:t>
      </w:r>
      <w:r w:rsidR="00BB4F4C">
        <w:rPr>
          <w:rFonts w:ascii="Arial" w:hAnsi="Arial" w:cs="Arial"/>
          <w:i w:val="0"/>
          <w:sz w:val="28"/>
          <w:szCs w:val="28"/>
        </w:rPr>
        <w:t>бзацный отступ 1 см, межстрочный одинарный</w:t>
      </w:r>
      <w:r>
        <w:rPr>
          <w:rFonts w:ascii="Arial" w:hAnsi="Arial" w:cs="Arial"/>
          <w:i w:val="0"/>
          <w:sz w:val="28"/>
          <w:szCs w:val="28"/>
        </w:rPr>
        <w:t xml:space="preserve"> (Формат – Абзац…)</w:t>
      </w:r>
      <w:r w:rsidR="00BB4F4C">
        <w:rPr>
          <w:rFonts w:ascii="Arial" w:hAnsi="Arial" w:cs="Arial"/>
          <w:i w:val="0"/>
          <w:sz w:val="28"/>
          <w:szCs w:val="28"/>
        </w:rPr>
        <w:t>.</w:t>
      </w:r>
    </w:p>
    <w:p w:rsidR="00F66D41" w:rsidRDefault="00EA74FB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Cs w:val="0"/>
          <w:noProof/>
          <w:sz w:val="28"/>
          <w:szCs w:val="28"/>
        </w:rPr>
        <w:lastRenderedPageBreak/>
        <w:drawing>
          <wp:inline distT="0" distB="0" distL="0" distR="0">
            <wp:extent cx="4314825" cy="5191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Формулы набирайте в редакторе формул MicrosoftEquation или MathType. Размер формул 14 пт, шрифт </w:t>
      </w:r>
      <w:r>
        <w:rPr>
          <w:rFonts w:ascii="Arial" w:hAnsi="Arial" w:cs="Arial"/>
          <w:i w:val="0"/>
          <w:sz w:val="28"/>
          <w:szCs w:val="28"/>
          <w:lang w:val="en-US"/>
        </w:rPr>
        <w:t>Arial</w:t>
      </w:r>
    </w:p>
    <w:p w:rsidR="00BB4F4C" w:rsidRPr="00D57D58" w:rsidRDefault="00BB4F4C" w:rsidP="00AC5770">
      <w:pPr>
        <w:pStyle w:val="a3"/>
        <w:widowControl w:val="0"/>
        <w:jc w:val="center"/>
        <w:rPr>
          <w:rFonts w:ascii="Arial" w:hAnsi="Arial" w:cs="Arial"/>
          <w:i w:val="0"/>
          <w:sz w:val="28"/>
          <w:szCs w:val="28"/>
        </w:rPr>
      </w:pPr>
      <w:r w:rsidRPr="00186C23">
        <w:rPr>
          <w:position w:val="-30"/>
        </w:rPr>
        <w:object w:dxaOrig="15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6.75pt" o:ole="" fillcolor="window">
            <v:imagedata r:id="rId9" o:title=""/>
          </v:shape>
          <o:OLEObject Type="Embed" ProgID="Equation.3" ShapeID="_x0000_i1025" DrawAspect="Content" ObjectID="_1642336847" r:id="rId10"/>
        </w:object>
      </w:r>
      <w:r>
        <w:rPr>
          <w:position w:val="-34"/>
        </w:rPr>
        <w:tab/>
      </w:r>
      <w:r>
        <w:rPr>
          <w:position w:val="-34"/>
        </w:rPr>
        <w:tab/>
      </w:r>
      <w:r w:rsidRPr="00D57D58">
        <w:rPr>
          <w:rFonts w:ascii="Arial" w:hAnsi="Arial" w:cs="Arial"/>
          <w:i w:val="0"/>
          <w:sz w:val="28"/>
          <w:szCs w:val="28"/>
        </w:rPr>
        <w:fldChar w:fldCharType="begin"/>
      </w:r>
      <w:r w:rsidRPr="00D57D58">
        <w:rPr>
          <w:rFonts w:ascii="Arial" w:hAnsi="Arial" w:cs="Arial"/>
          <w:i w:val="0"/>
          <w:sz w:val="28"/>
          <w:szCs w:val="28"/>
        </w:rPr>
        <w:instrText xml:space="preserve"> QUOTE </w:instrText>
      </w:r>
      <w:r w:rsidR="00EA74FB" w:rsidRPr="00DE0852">
        <w:rPr>
          <w:i w:val="0"/>
          <w:noProof/>
          <w:position w:val="-7"/>
        </w:rPr>
        <w:drawing>
          <wp:inline distT="0" distB="0" distL="0" distR="0">
            <wp:extent cx="13239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D58">
        <w:rPr>
          <w:rFonts w:ascii="Arial" w:hAnsi="Arial" w:cs="Arial"/>
          <w:i w:val="0"/>
          <w:sz w:val="28"/>
          <w:szCs w:val="28"/>
        </w:rPr>
        <w:fldChar w:fldCharType="end"/>
      </w:r>
    </w:p>
    <w:p w:rsidR="00BB4F4C" w:rsidRDefault="00EA74FB" w:rsidP="00AC5770">
      <w:pPr>
        <w:pStyle w:val="a3"/>
        <w:widowControl w:val="0"/>
        <w:jc w:val="center"/>
        <w:rPr>
          <w:rFonts w:ascii="Arial" w:hAnsi="Arial" w:cs="Arial"/>
          <w:sz w:val="28"/>
          <w:szCs w:val="28"/>
        </w:rPr>
      </w:pPr>
      <w:r w:rsidRPr="00DE085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000375" cy="1000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F4C" w:rsidRDefault="00BB4F4C" w:rsidP="00AC5770">
      <w:pPr>
        <w:pStyle w:val="a3"/>
        <w:widowControl w:val="0"/>
        <w:rPr>
          <w:rFonts w:ascii="Arial" w:hAnsi="Arial" w:cs="Arial"/>
          <w:sz w:val="28"/>
          <w:szCs w:val="28"/>
        </w:rPr>
      </w:pPr>
    </w:p>
    <w:p w:rsidR="00BB4F4C" w:rsidRDefault="00BB4F4C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Обозначения переменных, индексов и.т.д. – во избежание одинакового начертания букв русского и латинского алфавитов (например, латинские </w:t>
      </w:r>
      <w:r>
        <w:rPr>
          <w:rFonts w:ascii="Arial" w:hAnsi="Arial" w:cs="Arial"/>
          <w:i w:val="0"/>
          <w:sz w:val="28"/>
          <w:szCs w:val="28"/>
          <w:lang w:val="en-US"/>
        </w:rPr>
        <w:t>Oo</w:t>
      </w:r>
      <w:r w:rsidRPr="00186C23">
        <w:rPr>
          <w:rFonts w:ascii="Arial" w:hAnsi="Arial" w:cs="Arial"/>
          <w:i w:val="0"/>
          <w:sz w:val="28"/>
          <w:szCs w:val="28"/>
        </w:rPr>
        <w:t xml:space="preserve">, </w:t>
      </w:r>
      <w:r>
        <w:rPr>
          <w:rFonts w:ascii="Arial" w:hAnsi="Arial" w:cs="Arial"/>
          <w:i w:val="0"/>
          <w:sz w:val="28"/>
          <w:szCs w:val="28"/>
          <w:lang w:val="en-US"/>
        </w:rPr>
        <w:t>Hh</w:t>
      </w:r>
      <w:r>
        <w:rPr>
          <w:rFonts w:ascii="Arial" w:hAnsi="Arial" w:cs="Arial"/>
          <w:i w:val="0"/>
          <w:sz w:val="28"/>
          <w:szCs w:val="28"/>
        </w:rPr>
        <w:t xml:space="preserve">, </w:t>
      </w:r>
      <w:r>
        <w:rPr>
          <w:rFonts w:ascii="Arial" w:hAnsi="Arial" w:cs="Arial"/>
          <w:i w:val="0"/>
          <w:sz w:val="28"/>
          <w:szCs w:val="28"/>
          <w:lang w:val="en-US"/>
        </w:rPr>
        <w:t>Tt</w:t>
      </w:r>
      <w:r w:rsidR="00E02FB1" w:rsidRPr="00E02FB1">
        <w:rPr>
          <w:rFonts w:ascii="Arial" w:hAnsi="Arial" w:cs="Arial"/>
          <w:i w:val="0"/>
          <w:sz w:val="28"/>
          <w:szCs w:val="28"/>
        </w:rPr>
        <w:t xml:space="preserve"> </w:t>
      </w:r>
      <w:r>
        <w:rPr>
          <w:rFonts w:ascii="Arial" w:hAnsi="Arial" w:cs="Arial"/>
          <w:i w:val="0"/>
          <w:sz w:val="28"/>
          <w:szCs w:val="28"/>
        </w:rPr>
        <w:t>и соответствующие русские Оо, Нн, Тт</w:t>
      </w:r>
      <w:r w:rsidR="00E02FB1" w:rsidRPr="00E02FB1">
        <w:rPr>
          <w:rFonts w:ascii="Arial" w:hAnsi="Arial" w:cs="Arial"/>
          <w:i w:val="0"/>
          <w:sz w:val="28"/>
          <w:szCs w:val="28"/>
        </w:rPr>
        <w:t xml:space="preserve"> </w:t>
      </w:r>
      <w:r>
        <w:rPr>
          <w:rFonts w:ascii="Arial" w:hAnsi="Arial" w:cs="Arial"/>
          <w:i w:val="0"/>
          <w:sz w:val="28"/>
          <w:szCs w:val="28"/>
        </w:rPr>
        <w:t>и.т.д.)</w:t>
      </w:r>
      <w:r w:rsidR="00E02FB1" w:rsidRPr="00E02FB1">
        <w:rPr>
          <w:rFonts w:ascii="Arial" w:hAnsi="Arial" w:cs="Arial"/>
          <w:i w:val="0"/>
          <w:sz w:val="28"/>
          <w:szCs w:val="28"/>
        </w:rPr>
        <w:t xml:space="preserve"> </w:t>
      </w:r>
      <w:r>
        <w:rPr>
          <w:rFonts w:ascii="Arial" w:hAnsi="Arial" w:cs="Arial"/>
          <w:i w:val="0"/>
          <w:sz w:val="28"/>
          <w:szCs w:val="28"/>
        </w:rPr>
        <w:t xml:space="preserve">принять правило: латинские писать наклонно (курсив – </w:t>
      </w:r>
      <w:r w:rsidRPr="00DB7FF6">
        <w:rPr>
          <w:rFonts w:ascii="Arial" w:hAnsi="Arial" w:cs="Arial"/>
          <w:sz w:val="28"/>
          <w:szCs w:val="28"/>
          <w:lang w:val="en-US"/>
        </w:rPr>
        <w:t>Oo</w:t>
      </w:r>
      <w:r w:rsidRPr="00186C23">
        <w:rPr>
          <w:rFonts w:ascii="Arial" w:hAnsi="Arial" w:cs="Arial"/>
          <w:i w:val="0"/>
          <w:sz w:val="28"/>
          <w:szCs w:val="28"/>
        </w:rPr>
        <w:t xml:space="preserve">, </w:t>
      </w:r>
      <w:r w:rsidRPr="00DB7FF6">
        <w:rPr>
          <w:rFonts w:ascii="Arial" w:hAnsi="Arial" w:cs="Arial"/>
          <w:sz w:val="28"/>
          <w:szCs w:val="28"/>
          <w:lang w:val="en-US"/>
        </w:rPr>
        <w:t>Hh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>Tt</w:t>
      </w:r>
      <w:r>
        <w:rPr>
          <w:rFonts w:ascii="Arial" w:hAnsi="Arial" w:cs="Arial"/>
          <w:i w:val="0"/>
          <w:sz w:val="28"/>
          <w:szCs w:val="28"/>
        </w:rPr>
        <w:t>), русские прямые – Оо, Нн, Тт.</w:t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Рисунки (только черно-белые) выполняйте в любом графическом редакторе, в текст вставляются как часть текста («формат объекта» – «положение» – «в тексте»). Обратите внимание на оттенки (близкие оттенки чёрного или белого цвета заменять </w:t>
      </w:r>
      <w:r>
        <w:rPr>
          <w:rFonts w:ascii="Arial" w:hAnsi="Arial" w:cs="Arial"/>
          <w:i w:val="0"/>
          <w:sz w:val="28"/>
          <w:szCs w:val="28"/>
        </w:rPr>
        <w:lastRenderedPageBreak/>
        <w:t>узорной заливкой).</w:t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Рисунки и таблицы должны быть пронумерованными, с тематическими названиями и размещены в тексте вблизи ссылок (12 пт, шрифт </w:t>
      </w:r>
      <w:r>
        <w:rPr>
          <w:rFonts w:ascii="Arial" w:hAnsi="Arial" w:cs="Arial"/>
          <w:i w:val="0"/>
          <w:sz w:val="28"/>
          <w:szCs w:val="28"/>
          <w:lang w:val="en-US"/>
        </w:rPr>
        <w:t>Arial</w:t>
      </w:r>
      <w:r>
        <w:rPr>
          <w:rFonts w:ascii="Arial" w:hAnsi="Arial" w:cs="Arial"/>
          <w:i w:val="0"/>
          <w:sz w:val="28"/>
          <w:szCs w:val="28"/>
        </w:rPr>
        <w:t>).</w:t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Сокращения в тексте (кроме общеупотребительных и допустимых в печати) должны быть расшифрованы.</w:t>
      </w:r>
    </w:p>
    <w:p w:rsidR="00BB4F4C" w:rsidRDefault="00BB4F4C" w:rsidP="00AC5770">
      <w:pPr>
        <w:pStyle w:val="a3"/>
        <w:widowControl w:val="0"/>
        <w:numPr>
          <w:ilvl w:val="0"/>
          <w:numId w:val="2"/>
        </w:numPr>
        <w:ind w:left="1259" w:hanging="357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Чтобы в конце страницы не было большого пустого пространства используйте разрешение «висячих» строк (</w:t>
      </w:r>
      <w:r w:rsidR="008D54DC">
        <w:rPr>
          <w:rFonts w:ascii="Arial" w:hAnsi="Arial" w:cs="Arial"/>
          <w:i w:val="0"/>
          <w:sz w:val="28"/>
          <w:szCs w:val="28"/>
        </w:rPr>
        <w:t>Формат – А</w:t>
      </w:r>
      <w:r>
        <w:rPr>
          <w:rFonts w:ascii="Arial" w:hAnsi="Arial" w:cs="Arial"/>
          <w:i w:val="0"/>
          <w:sz w:val="28"/>
          <w:szCs w:val="28"/>
        </w:rPr>
        <w:t>бзац – Положение на странице</w:t>
      </w:r>
      <w:r w:rsidR="008D54DC">
        <w:rPr>
          <w:rFonts w:ascii="Arial" w:hAnsi="Arial" w:cs="Arial"/>
          <w:i w:val="0"/>
          <w:sz w:val="28"/>
          <w:szCs w:val="28"/>
        </w:rPr>
        <w:t xml:space="preserve"> – </w:t>
      </w:r>
      <w:r>
        <w:rPr>
          <w:rFonts w:ascii="Arial" w:hAnsi="Arial" w:cs="Arial"/>
          <w:i w:val="0"/>
          <w:sz w:val="28"/>
          <w:szCs w:val="28"/>
        </w:rPr>
        <w:t>убрать галочку у «запрет висячих строк)</w:t>
      </w:r>
    </w:p>
    <w:p w:rsidR="00BB4F4C" w:rsidRDefault="00EA74FB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  <w:r w:rsidRPr="00DE0852">
        <w:rPr>
          <w:rFonts w:ascii="Arial" w:hAnsi="Arial" w:cs="Arial"/>
          <w:b/>
          <w:i w:val="0"/>
          <w:noProof/>
          <w:sz w:val="28"/>
          <w:szCs w:val="28"/>
        </w:rPr>
        <w:drawing>
          <wp:inline distT="0" distB="0" distL="0" distR="0">
            <wp:extent cx="3714750" cy="914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F4C" w:rsidRPr="00413CCB" w:rsidRDefault="00BB4F4C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</w:p>
    <w:p w:rsidR="00BB4F4C" w:rsidRDefault="00BB4F4C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</w:p>
    <w:p w:rsidR="00A97014" w:rsidRDefault="00A97014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</w:p>
    <w:p w:rsidR="00A97014" w:rsidRDefault="00A97014" w:rsidP="00A97014">
      <w:pPr>
        <w:pStyle w:val="a3"/>
        <w:widowControl w:val="0"/>
        <w:ind w:firstLine="567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Желательно, чтобы статья по содержанию и форме изложения соответствовала общемировым стандартам и включала в себя:</w:t>
      </w:r>
    </w:p>
    <w:p w:rsidR="00A97014" w:rsidRDefault="00A97014" w:rsidP="00A97014">
      <w:pPr>
        <w:pStyle w:val="a3"/>
        <w:widowControl w:val="0"/>
        <w:numPr>
          <w:ilvl w:val="0"/>
          <w:numId w:val="2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краткую аннотацию и ключевые слова;</w:t>
      </w:r>
    </w:p>
    <w:p w:rsidR="00A97014" w:rsidRDefault="00A97014" w:rsidP="00A97014">
      <w:pPr>
        <w:pStyle w:val="a3"/>
        <w:widowControl w:val="0"/>
        <w:numPr>
          <w:ilvl w:val="0"/>
          <w:numId w:val="2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введение, содержащее краткий обзор публикаций в области интересов статьи, отражающее новизну представляемых в статье результатов и структуру последующего изложения материала;</w:t>
      </w:r>
    </w:p>
    <w:p w:rsidR="00A97014" w:rsidRDefault="00A97014" w:rsidP="00A97014">
      <w:pPr>
        <w:pStyle w:val="a3"/>
        <w:widowControl w:val="0"/>
        <w:numPr>
          <w:ilvl w:val="0"/>
          <w:numId w:val="2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методический раздел – методология, модели, методы;</w:t>
      </w:r>
    </w:p>
    <w:p w:rsidR="00A97014" w:rsidRDefault="00A97014" w:rsidP="00A97014">
      <w:pPr>
        <w:pStyle w:val="a3"/>
        <w:widowControl w:val="0"/>
        <w:numPr>
          <w:ilvl w:val="0"/>
          <w:numId w:val="2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расчетный раздел, содержащий результаты апробирования методических разработок на примере (примерах) и обсуждение этих иллюстрационных результатов;</w:t>
      </w:r>
    </w:p>
    <w:p w:rsidR="00A97014" w:rsidRDefault="00A97014" w:rsidP="00A97014">
      <w:pPr>
        <w:pStyle w:val="a3"/>
        <w:widowControl w:val="0"/>
        <w:numPr>
          <w:ilvl w:val="0"/>
          <w:numId w:val="2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заключение, включая задачи на будущее;</w:t>
      </w:r>
    </w:p>
    <w:p w:rsidR="00A97014" w:rsidRDefault="00A97014" w:rsidP="00A97014">
      <w:pPr>
        <w:pStyle w:val="a3"/>
        <w:widowControl w:val="0"/>
        <w:numPr>
          <w:ilvl w:val="0"/>
          <w:numId w:val="22"/>
        </w:numPr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литература: обычно не менее 10 ссылок. Ссылки не столько на себя, сколько на других.</w:t>
      </w:r>
    </w:p>
    <w:p w:rsidR="00A97014" w:rsidRPr="00C41856" w:rsidRDefault="00A97014" w:rsidP="00A97014">
      <w:pPr>
        <w:pStyle w:val="a3"/>
        <w:widowControl w:val="0"/>
        <w:ind w:firstLine="567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Выполнение этих требований будет способствовать повышению цитируемости статьи, ее продвижению в журналы, в том числе международные.</w:t>
      </w:r>
    </w:p>
    <w:p w:rsidR="00A97014" w:rsidRPr="00E84C5B" w:rsidRDefault="00A97014" w:rsidP="00A97014">
      <w:pPr>
        <w:pStyle w:val="a3"/>
        <w:widowControl w:val="0"/>
        <w:ind w:firstLine="567"/>
        <w:rPr>
          <w:rFonts w:ascii="Arial" w:hAnsi="Arial" w:cs="Arial"/>
          <w:i w:val="0"/>
          <w:sz w:val="28"/>
          <w:szCs w:val="28"/>
        </w:rPr>
      </w:pPr>
    </w:p>
    <w:p w:rsidR="00A97014" w:rsidRDefault="00A97014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</w:p>
    <w:p w:rsidR="00A97014" w:rsidRDefault="00A97014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</w:p>
    <w:p w:rsidR="00A97014" w:rsidRDefault="00A97014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</w:p>
    <w:p w:rsidR="00A97014" w:rsidRPr="00413CCB" w:rsidRDefault="00A97014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</w:p>
    <w:p w:rsidR="00BB4F4C" w:rsidRPr="00A00C14" w:rsidRDefault="00BB4F4C" w:rsidP="00AC5770">
      <w:pPr>
        <w:pStyle w:val="a3"/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>Пример основных частей статьи:</w:t>
      </w:r>
    </w:p>
    <w:p w:rsidR="00325309" w:rsidRPr="00AE7041" w:rsidRDefault="00773154" w:rsidP="00325309">
      <w:pPr>
        <w:jc w:val="both"/>
        <w:rPr>
          <w:rFonts w:ascii="Arial" w:hAnsi="Arial" w:cs="Arial"/>
          <w:b/>
          <w:sz w:val="28"/>
          <w:szCs w:val="28"/>
        </w:rPr>
      </w:pPr>
      <w:r w:rsidRPr="00F4551F">
        <w:rPr>
          <w:rFonts w:ascii="Arial" w:hAnsi="Arial" w:cs="Arial"/>
          <w:b/>
          <w:i/>
          <w:sz w:val="28"/>
          <w:szCs w:val="28"/>
        </w:rPr>
        <w:br w:type="page"/>
      </w:r>
      <w:r w:rsidR="00325309" w:rsidRPr="00AE7041">
        <w:rPr>
          <w:rFonts w:ascii="Arial" w:hAnsi="Arial" w:cs="Arial"/>
          <w:b/>
          <w:sz w:val="28"/>
          <w:szCs w:val="28"/>
        </w:rPr>
        <w:lastRenderedPageBreak/>
        <w:t>УДК 621.316.3</w:t>
      </w:r>
    </w:p>
    <w:p w:rsidR="00325309" w:rsidRPr="00BE0C8A" w:rsidRDefault="00325309" w:rsidP="00325309">
      <w:pPr>
        <w:jc w:val="both"/>
        <w:rPr>
          <w:rFonts w:ascii="Arial" w:hAnsi="Arial" w:cs="Arial"/>
          <w:sz w:val="28"/>
          <w:szCs w:val="28"/>
        </w:rPr>
      </w:pPr>
    </w:p>
    <w:p w:rsidR="00325309" w:rsidRPr="00BE0C8A" w:rsidRDefault="00325309" w:rsidP="00325309">
      <w:pPr>
        <w:jc w:val="both"/>
        <w:rPr>
          <w:rFonts w:ascii="Arial" w:hAnsi="Arial" w:cs="Arial"/>
          <w:sz w:val="28"/>
          <w:szCs w:val="28"/>
        </w:rPr>
      </w:pPr>
    </w:p>
    <w:p w:rsidR="00325309" w:rsidRPr="002C5996" w:rsidRDefault="00325309" w:rsidP="00325309">
      <w:pPr>
        <w:jc w:val="center"/>
        <w:rPr>
          <w:rFonts w:ascii="Arial" w:hAnsi="Arial" w:cs="Arial"/>
          <w:b/>
          <w:sz w:val="28"/>
          <w:szCs w:val="28"/>
        </w:rPr>
      </w:pPr>
      <w:r w:rsidRPr="002C5996">
        <w:rPr>
          <w:rFonts w:ascii="Arial" w:hAnsi="Arial" w:cs="Arial"/>
          <w:b/>
          <w:sz w:val="28"/>
          <w:szCs w:val="28"/>
        </w:rPr>
        <w:t xml:space="preserve">ОЦЕНКА </w:t>
      </w:r>
      <w:r w:rsidRPr="0036113A">
        <w:rPr>
          <w:rFonts w:ascii="Arial" w:hAnsi="Arial" w:cs="Arial"/>
          <w:b/>
          <w:sz w:val="28"/>
          <w:szCs w:val="28"/>
        </w:rPr>
        <w:t>ВЕРОЯТНОСТЕЙ И РИСКА РЕДКИХ СОБЫТИЙ</w:t>
      </w:r>
      <w:r>
        <w:rPr>
          <w:rFonts w:ascii="Arial" w:hAnsi="Arial" w:cs="Arial"/>
          <w:b/>
          <w:sz w:val="28"/>
          <w:szCs w:val="28"/>
        </w:rPr>
        <w:br/>
      </w:r>
      <w:r w:rsidRPr="0036113A">
        <w:rPr>
          <w:rFonts w:ascii="Arial" w:hAnsi="Arial" w:cs="Arial"/>
          <w:b/>
          <w:sz w:val="28"/>
          <w:szCs w:val="28"/>
        </w:rPr>
        <w:t>В ЭЛЕКТРОЭНЕРГЕТИКЕ</w:t>
      </w:r>
    </w:p>
    <w:p w:rsidR="00325309" w:rsidRPr="008E6DA3" w:rsidRDefault="00325309" w:rsidP="00325309">
      <w:pPr>
        <w:jc w:val="both"/>
        <w:rPr>
          <w:rFonts w:ascii="Arial" w:hAnsi="Arial" w:cs="Arial"/>
          <w:sz w:val="28"/>
          <w:szCs w:val="28"/>
        </w:rPr>
      </w:pPr>
    </w:p>
    <w:p w:rsidR="00325309" w:rsidRDefault="00325309" w:rsidP="00325309">
      <w:pPr>
        <w:jc w:val="center"/>
        <w:rPr>
          <w:rFonts w:ascii="Arial" w:hAnsi="Arial" w:cs="Arial"/>
          <w:sz w:val="28"/>
          <w:szCs w:val="28"/>
        </w:rPr>
      </w:pPr>
      <w:r w:rsidRPr="002C5996">
        <w:rPr>
          <w:rFonts w:ascii="Arial" w:hAnsi="Arial" w:cs="Arial"/>
          <w:sz w:val="28"/>
          <w:szCs w:val="28"/>
        </w:rPr>
        <w:t>Папков</w:t>
      </w:r>
      <w:r w:rsidRPr="002C5996">
        <w:rPr>
          <w:rStyle w:val="a6"/>
          <w:rFonts w:ascii="Arial" w:hAnsi="Arial" w:cs="Arial"/>
          <w:sz w:val="28"/>
          <w:szCs w:val="28"/>
        </w:rPr>
        <w:footnoteReference w:customMarkFollows="1" w:id="1"/>
        <w:t>*</w:t>
      </w:r>
      <w:r w:rsidRPr="002C5996">
        <w:rPr>
          <w:rFonts w:ascii="Arial" w:hAnsi="Arial" w:cs="Arial"/>
          <w:sz w:val="28"/>
          <w:szCs w:val="28"/>
        </w:rPr>
        <w:t xml:space="preserve"> Б.В., Куликов</w:t>
      </w:r>
      <w:r>
        <w:rPr>
          <w:rStyle w:val="a6"/>
          <w:rFonts w:ascii="Arial" w:hAnsi="Arial" w:cs="Arial"/>
          <w:sz w:val="28"/>
          <w:szCs w:val="28"/>
        </w:rPr>
        <w:footnoteReference w:customMarkFollows="1" w:id="2"/>
        <w:t>**</w:t>
      </w:r>
      <w:r w:rsidRPr="002C5996">
        <w:rPr>
          <w:rFonts w:ascii="Arial" w:hAnsi="Arial" w:cs="Arial"/>
          <w:sz w:val="28"/>
          <w:szCs w:val="28"/>
        </w:rPr>
        <w:t xml:space="preserve"> А.Л., Осокин</w:t>
      </w:r>
      <w:r w:rsidRPr="002C5996">
        <w:rPr>
          <w:rStyle w:val="a6"/>
          <w:rFonts w:ascii="Arial" w:hAnsi="Arial" w:cs="Arial"/>
          <w:sz w:val="28"/>
          <w:szCs w:val="28"/>
        </w:rPr>
        <w:footnoteReference w:customMarkFollows="1" w:id="3"/>
        <w:t>*</w:t>
      </w:r>
      <w:r w:rsidRPr="002C5996">
        <w:rPr>
          <w:rFonts w:ascii="Arial" w:hAnsi="Arial" w:cs="Arial"/>
          <w:sz w:val="28"/>
          <w:szCs w:val="28"/>
        </w:rPr>
        <w:t xml:space="preserve"> В.Л.</w:t>
      </w:r>
    </w:p>
    <w:p w:rsidR="00325309" w:rsidRPr="008E6DA3" w:rsidRDefault="00325309" w:rsidP="00325309">
      <w:pPr>
        <w:jc w:val="both"/>
        <w:rPr>
          <w:rFonts w:ascii="Arial" w:hAnsi="Arial" w:cs="Arial"/>
          <w:sz w:val="28"/>
          <w:szCs w:val="28"/>
        </w:rPr>
      </w:pPr>
    </w:p>
    <w:p w:rsidR="00325309" w:rsidRPr="00453436" w:rsidRDefault="00325309" w:rsidP="00325309">
      <w:pPr>
        <w:ind w:firstLine="567"/>
        <w:jc w:val="both"/>
        <w:rPr>
          <w:rFonts w:ascii="Arial" w:eastAsia="Tahoma" w:hAnsi="Arial" w:cs="Arial"/>
          <w:b/>
          <w:color w:val="00000A"/>
          <w:sz w:val="28"/>
          <w:szCs w:val="28"/>
        </w:rPr>
      </w:pPr>
      <w:r w:rsidRPr="00453436">
        <w:rPr>
          <w:rFonts w:ascii="Arial" w:eastAsia="Tahoma" w:hAnsi="Arial" w:cs="Arial"/>
          <w:b/>
          <w:color w:val="00000A"/>
          <w:sz w:val="28"/>
          <w:szCs w:val="28"/>
        </w:rPr>
        <w:t>Аннотация</w:t>
      </w:r>
    </w:p>
    <w:p w:rsidR="00325309" w:rsidRPr="00D838CA" w:rsidRDefault="00325309" w:rsidP="00325309">
      <w:pPr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838CA">
        <w:rPr>
          <w:rFonts w:ascii="Arial" w:hAnsi="Arial" w:cs="Arial"/>
          <w:sz w:val="28"/>
          <w:szCs w:val="28"/>
          <w:shd w:val="clear" w:color="auto" w:fill="FFFFFF"/>
        </w:rPr>
        <w:t>Рассматриваются и анализируются вопросы, связанные с оценкой вероятностей значимых, но редких событий, экстремальных и катастрофических ситуаций в электроэнергетике. Основное внимание уделено методам количественной оценки технологического риска и его показателей. Приведены примеры.</w:t>
      </w:r>
    </w:p>
    <w:p w:rsidR="00325309" w:rsidRPr="00453436" w:rsidRDefault="00325309" w:rsidP="00325309">
      <w:pPr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53436">
        <w:rPr>
          <w:rFonts w:ascii="Arial" w:hAnsi="Arial" w:cs="Arial"/>
          <w:b/>
          <w:sz w:val="28"/>
          <w:szCs w:val="28"/>
          <w:shd w:val="clear" w:color="auto" w:fill="FFFFFF"/>
        </w:rPr>
        <w:t>Ключевые слова</w:t>
      </w:r>
      <w:r w:rsidRPr="00453436">
        <w:rPr>
          <w:rFonts w:ascii="Arial" w:hAnsi="Arial" w:cs="Arial"/>
          <w:sz w:val="28"/>
          <w:szCs w:val="28"/>
          <w:shd w:val="clear" w:color="auto" w:fill="FFFFFF"/>
        </w:rPr>
        <w:t>: надёжность, риск, экстремальные события, вероятность.</w:t>
      </w:r>
    </w:p>
    <w:p w:rsidR="00325309" w:rsidRPr="00D838CA" w:rsidRDefault="00325309" w:rsidP="00325309">
      <w:pPr>
        <w:ind w:firstLine="567"/>
        <w:jc w:val="both"/>
        <w:rPr>
          <w:rFonts w:ascii="Arial" w:eastAsia="Tahoma" w:hAnsi="Arial" w:cs="Arial"/>
          <w:color w:val="00000A"/>
          <w:sz w:val="28"/>
          <w:szCs w:val="28"/>
        </w:rPr>
      </w:pPr>
    </w:p>
    <w:p w:rsidR="00325309" w:rsidRDefault="00325309" w:rsidP="00325309">
      <w:pPr>
        <w:ind w:firstLine="567"/>
        <w:jc w:val="both"/>
        <w:rPr>
          <w:rFonts w:ascii="Arial" w:eastAsia="Tahoma" w:hAnsi="Arial" w:cs="Arial"/>
          <w:b/>
          <w:color w:val="00000A"/>
          <w:sz w:val="28"/>
          <w:szCs w:val="28"/>
        </w:rPr>
      </w:pPr>
      <w:r w:rsidRPr="00123332">
        <w:rPr>
          <w:rFonts w:ascii="Arial" w:eastAsia="Tahoma" w:hAnsi="Arial" w:cs="Arial"/>
          <w:b/>
          <w:color w:val="00000A"/>
          <w:sz w:val="28"/>
          <w:szCs w:val="28"/>
        </w:rPr>
        <w:t>Введение</w:t>
      </w:r>
    </w:p>
    <w:p w:rsidR="00325309" w:rsidRDefault="00325309" w:rsidP="00BF4DF1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D5199">
        <w:rPr>
          <w:rFonts w:ascii="Arial" w:hAnsi="Arial" w:cs="Arial"/>
          <w:sz w:val="28"/>
          <w:szCs w:val="28"/>
          <w:shd w:val="clear" w:color="auto" w:fill="FFFFFF"/>
        </w:rPr>
        <w:t>В связи с возможными катастрофическими последствиями отказов и происшествий в работе сложных технических систем (СТС), проблема оценки над</w:t>
      </w:r>
      <w:r>
        <w:rPr>
          <w:rFonts w:ascii="Arial" w:hAnsi="Arial" w:cs="Arial"/>
          <w:sz w:val="28"/>
          <w:szCs w:val="28"/>
          <w:shd w:val="clear" w:color="auto" w:fill="FFFFFF"/>
        </w:rPr>
        <w:t>ё</w:t>
      </w:r>
      <w:r w:rsidRPr="001D5199">
        <w:rPr>
          <w:rFonts w:ascii="Arial" w:hAnsi="Arial" w:cs="Arial"/>
          <w:sz w:val="28"/>
          <w:szCs w:val="28"/>
          <w:shd w:val="clear" w:color="auto" w:fill="FFFFFF"/>
        </w:rPr>
        <w:t xml:space="preserve">жности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их </w:t>
      </w:r>
      <w:r w:rsidRPr="001D5199">
        <w:rPr>
          <w:rFonts w:ascii="Arial" w:hAnsi="Arial" w:cs="Arial"/>
          <w:sz w:val="28"/>
          <w:szCs w:val="28"/>
          <w:shd w:val="clear" w:color="auto" w:fill="FFFFFF"/>
        </w:rPr>
        <w:t xml:space="preserve">функционирования как на стадии проектирования и выбора основных технических решений, так и в период эксплуатации, является одной из приоритетных при исследовании проблем обеспечения безопасности населения и окружающей среды. </w:t>
      </w:r>
      <w:r w:rsidR="00BF4DF1">
        <w:rPr>
          <w:rFonts w:ascii="Arial" w:hAnsi="Arial" w:cs="Arial"/>
          <w:sz w:val="28"/>
          <w:szCs w:val="28"/>
          <w:shd w:val="clear" w:color="auto" w:fill="FFFFFF"/>
        </w:rPr>
        <w:t>…</w:t>
      </w:r>
    </w:p>
    <w:p w:rsidR="00325309" w:rsidRDefault="00325309" w:rsidP="00BF4DF1">
      <w:pPr>
        <w:ind w:firstLine="567"/>
        <w:jc w:val="both"/>
        <w:rPr>
          <w:rFonts w:ascii="Arial" w:eastAsia="Tahoma" w:hAnsi="Arial" w:cs="Arial"/>
          <w:color w:val="00000A"/>
          <w:sz w:val="28"/>
          <w:szCs w:val="28"/>
        </w:rPr>
      </w:pPr>
      <w:r>
        <w:rPr>
          <w:rFonts w:ascii="Arial" w:eastAsia="Tahoma" w:hAnsi="Arial" w:cs="Arial"/>
          <w:color w:val="00000A"/>
          <w:sz w:val="28"/>
          <w:szCs w:val="28"/>
        </w:rPr>
        <w:t xml:space="preserve">Безопасность в большинстве случаев определяется как </w:t>
      </w:r>
      <w:r w:rsidRPr="007369BB">
        <w:rPr>
          <w:rFonts w:ascii="Arial" w:eastAsia="Tahoma" w:hAnsi="Arial" w:cs="Arial"/>
          <w:color w:val="00000A"/>
          <w:sz w:val="28"/>
          <w:szCs w:val="28"/>
        </w:rPr>
        <w:t>состояни</w:t>
      </w:r>
      <w:r>
        <w:rPr>
          <w:rFonts w:ascii="Arial" w:eastAsia="Tahoma" w:hAnsi="Arial" w:cs="Arial"/>
          <w:color w:val="00000A"/>
          <w:sz w:val="28"/>
          <w:szCs w:val="28"/>
        </w:rPr>
        <w:t>е</w:t>
      </w:r>
      <w:r w:rsidRPr="007369BB">
        <w:rPr>
          <w:rFonts w:ascii="Arial" w:eastAsia="Tahoma" w:hAnsi="Arial" w:cs="Arial"/>
          <w:color w:val="00000A"/>
          <w:sz w:val="28"/>
          <w:szCs w:val="28"/>
        </w:rPr>
        <w:t>, в котором</w:t>
      </w:r>
      <w:r>
        <w:rPr>
          <w:rFonts w:ascii="Arial" w:eastAsia="Tahoma" w:hAnsi="Arial" w:cs="Arial"/>
          <w:color w:val="00000A"/>
          <w:sz w:val="28"/>
          <w:szCs w:val="28"/>
        </w:rPr>
        <w:t>,</w:t>
      </w:r>
      <w:r w:rsidRPr="007369BB">
        <w:rPr>
          <w:rFonts w:ascii="Arial" w:eastAsia="Tahoma" w:hAnsi="Arial" w:cs="Arial"/>
          <w:color w:val="00000A"/>
          <w:sz w:val="28"/>
          <w:szCs w:val="28"/>
        </w:rPr>
        <w:t xml:space="preserve"> при наличии возникшей угрозы</w:t>
      </w:r>
      <w:r>
        <w:rPr>
          <w:rFonts w:ascii="Arial" w:eastAsia="Tahoma" w:hAnsi="Arial" w:cs="Arial"/>
          <w:color w:val="00000A"/>
          <w:sz w:val="28"/>
          <w:szCs w:val="28"/>
        </w:rPr>
        <w:t>,</w:t>
      </w:r>
      <w:r w:rsidRPr="007369BB">
        <w:rPr>
          <w:rFonts w:ascii="Arial" w:eastAsia="Tahoma" w:hAnsi="Arial" w:cs="Arial"/>
          <w:color w:val="00000A"/>
          <w:sz w:val="28"/>
          <w:szCs w:val="28"/>
        </w:rPr>
        <w:t xml:space="preserve"> уровень возможного вреда имуществу или персоналу оценивается через категорию риска, значения которого не превышают допустимой (стандартной) величины» [</w:t>
      </w:r>
      <w:r w:rsidRPr="006E24FC">
        <w:rPr>
          <w:rFonts w:ascii="Arial" w:eastAsia="Tahoma" w:hAnsi="Arial" w:cs="Arial"/>
          <w:color w:val="00000A"/>
          <w:sz w:val="28"/>
          <w:szCs w:val="28"/>
        </w:rPr>
        <w:t>1</w:t>
      </w:r>
      <w:r w:rsidRPr="007369BB">
        <w:rPr>
          <w:rFonts w:ascii="Arial" w:eastAsia="Tahoma" w:hAnsi="Arial" w:cs="Arial"/>
          <w:color w:val="00000A"/>
          <w:sz w:val="28"/>
          <w:szCs w:val="28"/>
        </w:rPr>
        <w:t xml:space="preserve">]. </w:t>
      </w:r>
      <w:r w:rsidR="00BF4DF1">
        <w:rPr>
          <w:rFonts w:ascii="Arial" w:eastAsia="Tahoma" w:hAnsi="Arial" w:cs="Arial"/>
          <w:color w:val="00000A"/>
          <w:sz w:val="28"/>
          <w:szCs w:val="28"/>
        </w:rPr>
        <w:t>…</w:t>
      </w:r>
    </w:p>
    <w:p w:rsidR="00325309" w:rsidRDefault="00325309" w:rsidP="00325309">
      <w:pPr>
        <w:ind w:firstLine="567"/>
        <w:jc w:val="both"/>
        <w:rPr>
          <w:rFonts w:ascii="Arial" w:eastAsia="Tahoma" w:hAnsi="Arial" w:cs="Arial"/>
          <w:color w:val="00000A"/>
          <w:sz w:val="28"/>
          <w:szCs w:val="28"/>
        </w:rPr>
      </w:pPr>
    </w:p>
    <w:p w:rsidR="00325309" w:rsidRDefault="00325309" w:rsidP="00325309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6529E8">
        <w:rPr>
          <w:rFonts w:ascii="Arial" w:hAnsi="Arial" w:cs="Arial"/>
          <w:b/>
          <w:sz w:val="28"/>
          <w:szCs w:val="28"/>
        </w:rPr>
        <w:t>Элементы риска</w:t>
      </w:r>
      <w:r>
        <w:rPr>
          <w:rFonts w:ascii="Arial" w:hAnsi="Arial" w:cs="Arial"/>
          <w:b/>
          <w:sz w:val="28"/>
          <w:szCs w:val="28"/>
        </w:rPr>
        <w:t xml:space="preserve"> в системах электроэнергетики</w:t>
      </w:r>
    </w:p>
    <w:p w:rsidR="00325309" w:rsidRPr="00254943" w:rsidRDefault="00325309" w:rsidP="00325309">
      <w:pPr>
        <w:ind w:firstLine="567"/>
        <w:jc w:val="both"/>
        <w:rPr>
          <w:rFonts w:ascii="Arial" w:eastAsia="Tahoma" w:hAnsi="Arial" w:cs="Arial"/>
          <w:sz w:val="28"/>
          <w:szCs w:val="28"/>
        </w:rPr>
      </w:pPr>
      <w:r w:rsidRPr="00254943">
        <w:rPr>
          <w:rFonts w:ascii="Arial" w:hAnsi="Arial" w:cs="Arial"/>
          <w:sz w:val="28"/>
          <w:szCs w:val="28"/>
        </w:rPr>
        <w:t>Причина запроектных и гипотетических аварий – цепочка событий или сценарий с попаданием системы в опасное состояние, вероятность возникновения которого не имеет никакого значения, если ущерб значим и недопустим для пользователей систем</w:t>
      </w:r>
      <w:r>
        <w:rPr>
          <w:rFonts w:ascii="Arial" w:hAnsi="Arial" w:cs="Arial"/>
          <w:sz w:val="28"/>
          <w:szCs w:val="28"/>
        </w:rPr>
        <w:t xml:space="preserve"> [</w:t>
      </w:r>
      <w:r w:rsidRPr="006E24F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</w:t>
      </w:r>
      <w:r w:rsidR="00BF4DF1">
        <w:rPr>
          <w:rFonts w:ascii="Arial" w:hAnsi="Arial" w:cs="Arial"/>
          <w:sz w:val="28"/>
          <w:szCs w:val="28"/>
        </w:rPr>
        <w:t xml:space="preserve"> </w:t>
      </w:r>
      <w:r w:rsidRPr="006E24F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]</w:t>
      </w:r>
      <w:r w:rsidRPr="00254943">
        <w:rPr>
          <w:rFonts w:ascii="Arial" w:hAnsi="Arial" w:cs="Arial"/>
          <w:sz w:val="28"/>
          <w:szCs w:val="28"/>
        </w:rPr>
        <w:t>. Более того, в случае редких событий некорректно вводить понятие «среднее время до катастрофы». Основная задача, связана с поиском «окон уязвимости», а решение её осуществляется методами многокритериальной оценки обоб</w:t>
      </w:r>
      <w:r w:rsidRPr="00254943">
        <w:rPr>
          <w:rFonts w:ascii="Arial" w:hAnsi="Arial" w:cs="Arial"/>
          <w:sz w:val="28"/>
          <w:szCs w:val="28"/>
        </w:rPr>
        <w:lastRenderedPageBreak/>
        <w:t xml:space="preserve">щённых показателей типа «эффективность», «надёжность», «безопасность», «уязвимость», </w:t>
      </w:r>
      <w:r>
        <w:rPr>
          <w:rFonts w:ascii="Arial" w:hAnsi="Arial" w:cs="Arial"/>
          <w:sz w:val="28"/>
          <w:szCs w:val="28"/>
        </w:rPr>
        <w:t xml:space="preserve">«стойкость», </w:t>
      </w:r>
      <w:r w:rsidRPr="00254943">
        <w:rPr>
          <w:rFonts w:ascii="Arial" w:hAnsi="Arial" w:cs="Arial"/>
          <w:sz w:val="28"/>
          <w:szCs w:val="28"/>
        </w:rPr>
        <w:t>«приемлемость», «экономичность», «эргономичность», «конкурентоспособность» и т. п. [</w:t>
      </w:r>
      <w:r w:rsidRPr="006E24FC">
        <w:rPr>
          <w:rFonts w:ascii="Arial" w:hAnsi="Arial" w:cs="Arial"/>
          <w:sz w:val="28"/>
          <w:szCs w:val="28"/>
        </w:rPr>
        <w:t>1</w:t>
      </w:r>
      <w:r w:rsidRPr="00254943">
        <w:rPr>
          <w:rFonts w:ascii="Arial" w:hAnsi="Arial" w:cs="Arial"/>
          <w:sz w:val="28"/>
          <w:szCs w:val="28"/>
        </w:rPr>
        <w:t>]</w:t>
      </w:r>
      <w:r w:rsidR="00D71395">
        <w:rPr>
          <w:rFonts w:ascii="Arial" w:hAnsi="Arial" w:cs="Arial"/>
          <w:sz w:val="28"/>
          <w:szCs w:val="28"/>
        </w:rPr>
        <w:t>. …</w:t>
      </w:r>
    </w:p>
    <w:p w:rsidR="00325309" w:rsidRPr="00123332" w:rsidRDefault="00325309" w:rsidP="00325309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325309" w:rsidRDefault="00325309" w:rsidP="00325309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Элементарная оценка вероятности</w:t>
      </w:r>
      <w:r w:rsidRPr="00D82D25">
        <w:rPr>
          <w:rFonts w:ascii="Arial" w:hAnsi="Arial" w:cs="Arial"/>
          <w:b/>
          <w:sz w:val="28"/>
          <w:szCs w:val="28"/>
        </w:rPr>
        <w:t xml:space="preserve"> редких событий</w:t>
      </w:r>
    </w:p>
    <w:p w:rsidR="00325309" w:rsidRDefault="00325309" w:rsidP="0032530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216775">
        <w:rPr>
          <w:rFonts w:ascii="Arial" w:eastAsia="Tahoma" w:hAnsi="Arial" w:cs="Arial"/>
          <w:color w:val="00000A"/>
          <w:sz w:val="28"/>
          <w:szCs w:val="28"/>
        </w:rPr>
        <w:t xml:space="preserve">После выявления принципиально возможных рисков, оценивается их вероятность и возможные последствия. </w:t>
      </w:r>
      <w:r w:rsidR="00D71395">
        <w:rPr>
          <w:rFonts w:ascii="Arial" w:eastAsia="Tahoma" w:hAnsi="Arial" w:cs="Arial"/>
          <w:color w:val="00000A"/>
          <w:sz w:val="28"/>
          <w:szCs w:val="28"/>
        </w:rPr>
        <w:t>…</w:t>
      </w:r>
    </w:p>
    <w:p w:rsidR="00325309" w:rsidRDefault="00325309" w:rsidP="00325309">
      <w:pPr>
        <w:ind w:firstLine="567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4). Система (двухтрансформаторная подстанция) состоит из двух параллельно работающих элементов. Каждый из них отказывает в соответствии с экспоненциальным законом распределения и параметром </w:t>
      </w:r>
      <w:r w:rsidRPr="001F5F3F">
        <w:rPr>
          <w:rFonts w:eastAsiaTheme="minorEastAsia"/>
          <w:sz w:val="28"/>
          <w:szCs w:val="28"/>
        </w:rPr>
        <w:t>λ</w:t>
      </w:r>
      <w:r>
        <w:rPr>
          <w:rFonts w:ascii="Arial" w:eastAsiaTheme="minorEastAsia" w:hAnsi="Arial" w:cs="Arial"/>
          <w:sz w:val="28"/>
          <w:szCs w:val="28"/>
        </w:rPr>
        <w:t xml:space="preserve">. При независимых отказах вероятность отказа за время </w:t>
      </w:r>
      <w:r w:rsidRPr="005A2691">
        <w:rPr>
          <w:rFonts w:ascii="Arial" w:eastAsiaTheme="minorEastAsia" w:hAnsi="Arial" w:cs="Arial"/>
          <w:i/>
          <w:sz w:val="28"/>
          <w:szCs w:val="28"/>
          <w:lang w:val="en-US"/>
        </w:rPr>
        <w:t>t</w:t>
      </w:r>
      <w:r w:rsidRPr="00D838CA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8"/>
          <w:szCs w:val="28"/>
        </w:rPr>
        <w:t>составит:</w:t>
      </w:r>
    </w:p>
    <w:p w:rsidR="00325309" w:rsidRPr="00E51522" w:rsidRDefault="00325309" w:rsidP="00325309">
      <w:pPr>
        <w:ind w:firstLine="567"/>
        <w:jc w:val="both"/>
        <w:rPr>
          <w:rFonts w:ascii="Arial" w:eastAsiaTheme="minorEastAsia" w:hAnsi="Arial" w:cs="Arial"/>
          <w:sz w:val="10"/>
          <w:szCs w:val="1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709"/>
      </w:tblGrid>
      <w:tr w:rsidR="00325309" w:rsidTr="00B9166F">
        <w:tc>
          <w:tcPr>
            <w:tcW w:w="8897" w:type="dxa"/>
          </w:tcPr>
          <w:p w:rsidR="00325309" w:rsidRDefault="00325309" w:rsidP="00B9166F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(1-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-λt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Arial" w:eastAsiaTheme="minorEastAsia" w:hAnsi="Arial" w:cs="Arial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25309" w:rsidRDefault="00325309" w:rsidP="00B9166F">
            <w:pPr>
              <w:jc w:val="right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(1)</w:t>
            </w:r>
          </w:p>
        </w:tc>
      </w:tr>
    </w:tbl>
    <w:p w:rsidR="00325309" w:rsidRPr="00E51522" w:rsidRDefault="00325309" w:rsidP="00325309">
      <w:pPr>
        <w:ind w:firstLine="567"/>
        <w:jc w:val="both"/>
        <w:rPr>
          <w:rFonts w:ascii="Arial" w:eastAsiaTheme="minorEastAsia" w:hAnsi="Arial" w:cs="Arial"/>
          <w:sz w:val="10"/>
          <w:szCs w:val="10"/>
        </w:rPr>
      </w:pPr>
    </w:p>
    <w:p w:rsidR="00325309" w:rsidRDefault="00325309" w:rsidP="00325309">
      <w:pPr>
        <w:ind w:firstLine="567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В соответствии с  [</w:t>
      </w:r>
      <w:r w:rsidRPr="006E24FC">
        <w:rPr>
          <w:rFonts w:ascii="Arial" w:eastAsiaTheme="minorEastAsia" w:hAnsi="Arial" w:cs="Arial"/>
          <w:sz w:val="28"/>
          <w:szCs w:val="28"/>
        </w:rPr>
        <w:t>9</w:t>
      </w:r>
      <w:r>
        <w:rPr>
          <w:rFonts w:ascii="Arial" w:eastAsiaTheme="minorEastAsia" w:hAnsi="Arial" w:cs="Arial"/>
          <w:sz w:val="28"/>
          <w:szCs w:val="28"/>
        </w:rPr>
        <w:t xml:space="preserve">] предположим, что с интенсивностью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0</m:t>
            </m:r>
          </m:sub>
        </m:sSub>
      </m:oMath>
      <w:r>
        <w:rPr>
          <w:rFonts w:ascii="Arial" w:eastAsiaTheme="minorEastAsia" w:hAnsi="Arial" w:cs="Arial"/>
          <w:sz w:val="28"/>
          <w:szCs w:val="28"/>
        </w:rPr>
        <w:t xml:space="preserve"> возникают независимые отказы элементов, а с интенсивностью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sub>
        </m:sSub>
      </m:oMath>
      <w:r>
        <w:rPr>
          <w:rFonts w:ascii="Arial" w:eastAsiaTheme="minorEastAsia" w:hAnsi="Arial" w:cs="Arial"/>
          <w:sz w:val="28"/>
          <w:szCs w:val="28"/>
        </w:rPr>
        <w:t xml:space="preserve"> – критические, под воздействием которых каждый элемент может отказать с вероятностью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α=1-β</m:t>
        </m:r>
      </m:oMath>
      <w:r>
        <w:rPr>
          <w:rFonts w:ascii="Arial" w:eastAsiaTheme="minorEastAsia" w:hAnsi="Arial" w:cs="Arial"/>
          <w:sz w:val="28"/>
          <w:szCs w:val="28"/>
        </w:rPr>
        <w:t xml:space="preserve">. При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</w:rPr>
          <m:t>α=λ</m:t>
        </m:r>
      </m:oMath>
      <w:r>
        <w:rPr>
          <w:rFonts w:ascii="Arial" w:eastAsiaTheme="minorEastAsia" w:hAnsi="Arial" w:cs="Arial"/>
          <w:sz w:val="28"/>
          <w:szCs w:val="28"/>
        </w:rPr>
        <w:t xml:space="preserve"> свойство экспоненциальности сохраняется, но при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α&gt;0</m:t>
        </m:r>
      </m:oMath>
      <w:r>
        <w:rPr>
          <w:rFonts w:ascii="Arial" w:eastAsiaTheme="minorEastAsia" w:hAnsi="Arial" w:cs="Arial"/>
          <w:sz w:val="28"/>
          <w:szCs w:val="28"/>
        </w:rPr>
        <w:t xml:space="preserve"> надёжность системы существенно изменяется. Если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</w:rPr>
          <m:t>(t)</m:t>
        </m:r>
      </m:oMath>
      <w:r>
        <w:rPr>
          <w:rFonts w:ascii="Arial" w:eastAsiaTheme="minorEastAsia" w:hAnsi="Arial" w:cs="Arial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i=0,1</m:t>
        </m:r>
      </m:oMath>
      <w:r>
        <w:rPr>
          <w:rFonts w:ascii="Arial" w:eastAsiaTheme="minorEastAsia" w:hAnsi="Arial" w:cs="Arial"/>
          <w:sz w:val="28"/>
          <w:szCs w:val="28"/>
        </w:rPr>
        <w:t xml:space="preserve"> – вероятность наличия </w:t>
      </w:r>
      <w:r w:rsidRPr="001F5F3F">
        <w:rPr>
          <w:rFonts w:eastAsiaTheme="minorEastAsia"/>
          <w:i/>
          <w:sz w:val="28"/>
          <w:szCs w:val="28"/>
          <w:lang w:val="en-US"/>
        </w:rPr>
        <w:t>i</w:t>
      </w:r>
      <w:r w:rsidRPr="00D838CA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8"/>
          <w:szCs w:val="28"/>
        </w:rPr>
        <w:t xml:space="preserve">отказавших элементов в момент </w:t>
      </w:r>
      <w:r w:rsidRPr="001F5F3F">
        <w:rPr>
          <w:rFonts w:ascii="Arial" w:eastAsiaTheme="minorEastAsia" w:hAnsi="Arial" w:cs="Arial"/>
          <w:i/>
          <w:sz w:val="28"/>
          <w:szCs w:val="28"/>
          <w:lang w:val="en-US"/>
        </w:rPr>
        <w:t>t</w:t>
      </w:r>
      <w:r>
        <w:rPr>
          <w:rFonts w:ascii="Arial" w:eastAsiaTheme="minorEastAsia" w:hAnsi="Arial" w:cs="Arial"/>
          <w:sz w:val="28"/>
          <w:szCs w:val="28"/>
        </w:rPr>
        <w:t>, то в [</w:t>
      </w:r>
      <w:r w:rsidRPr="006E24FC">
        <w:rPr>
          <w:rFonts w:ascii="Arial" w:eastAsiaTheme="minorEastAsia" w:hAnsi="Arial" w:cs="Arial"/>
          <w:sz w:val="28"/>
          <w:szCs w:val="28"/>
        </w:rPr>
        <w:t>9</w:t>
      </w:r>
      <w:r>
        <w:rPr>
          <w:rFonts w:ascii="Arial" w:eastAsiaTheme="minorEastAsia" w:hAnsi="Arial" w:cs="Arial"/>
          <w:sz w:val="28"/>
          <w:szCs w:val="28"/>
        </w:rPr>
        <w:t>]</w:t>
      </w:r>
      <w:r w:rsidRPr="00D838CA">
        <w:rPr>
          <w:rFonts w:ascii="Arial" w:eastAsiaTheme="minorEastAsia" w:hAnsi="Arial" w:cs="Arial"/>
          <w:sz w:val="28"/>
          <w:szCs w:val="28"/>
        </w:rPr>
        <w:t xml:space="preserve"> </w:t>
      </w:r>
      <w:r w:rsidRPr="00A06741">
        <w:rPr>
          <w:rFonts w:ascii="Arial" w:eastAsiaTheme="minorEastAsia" w:hAnsi="Arial" w:cs="Arial"/>
          <w:sz w:val="28"/>
          <w:szCs w:val="28"/>
        </w:rPr>
        <w:t xml:space="preserve">приводится система </w:t>
      </w:r>
      <w:r>
        <w:rPr>
          <w:rFonts w:ascii="Arial" w:eastAsiaTheme="minorEastAsia" w:hAnsi="Arial" w:cs="Arial"/>
          <w:sz w:val="28"/>
          <w:szCs w:val="28"/>
        </w:rPr>
        <w:t xml:space="preserve">двух </w:t>
      </w:r>
      <w:r w:rsidRPr="00A06741">
        <w:rPr>
          <w:rFonts w:ascii="Arial" w:eastAsiaTheme="minorEastAsia" w:hAnsi="Arial" w:cs="Arial"/>
          <w:sz w:val="28"/>
          <w:szCs w:val="28"/>
        </w:rPr>
        <w:t xml:space="preserve">дифференциальных </w:t>
      </w:r>
      <w:r>
        <w:rPr>
          <w:rFonts w:ascii="Arial" w:eastAsiaTheme="minorEastAsia" w:hAnsi="Arial" w:cs="Arial"/>
          <w:sz w:val="28"/>
          <w:szCs w:val="28"/>
        </w:rPr>
        <w:t xml:space="preserve">уравнений Колмогорова, решение которых при начальных условиях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</w:rPr>
          <m:t>(0)=1</m:t>
        </m:r>
      </m:oMath>
      <w:r>
        <w:rPr>
          <w:rFonts w:ascii="Arial" w:eastAsiaTheme="minorEastAsia" w:hAnsi="Arial" w:cs="Arial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Arial"/>
            <w:sz w:val="28"/>
            <w:szCs w:val="28"/>
          </w:rPr>
          <m:t>=0</m:t>
        </m:r>
      </m:oMath>
      <w:r>
        <w:rPr>
          <w:rFonts w:ascii="Arial" w:eastAsiaTheme="minorEastAsia" w:hAnsi="Arial" w:cs="Arial"/>
          <w:sz w:val="28"/>
          <w:szCs w:val="28"/>
        </w:rPr>
        <w:t xml:space="preserve"> имеет вид:</w:t>
      </w:r>
    </w:p>
    <w:p w:rsidR="00325309" w:rsidRPr="00E51522" w:rsidRDefault="00325309" w:rsidP="00325309">
      <w:pPr>
        <w:ind w:firstLine="567"/>
        <w:jc w:val="both"/>
        <w:rPr>
          <w:rFonts w:ascii="Arial" w:eastAsiaTheme="minorEastAsia" w:hAnsi="Arial" w:cs="Arial"/>
          <w:sz w:val="10"/>
          <w:szCs w:val="1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709"/>
      </w:tblGrid>
      <w:tr w:rsidR="00325309" w:rsidTr="00B9166F">
        <w:tc>
          <w:tcPr>
            <w:tcW w:w="8897" w:type="dxa"/>
            <w:vAlign w:val="center"/>
          </w:tcPr>
          <w:p w:rsidR="00325309" w:rsidRPr="005D5818" w:rsidRDefault="00617160" w:rsidP="00B9166F">
            <w:pPr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-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</w:rPr>
                                  <m:t>β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t</m:t>
                    </m:r>
                  </m:sup>
                </m:sSup>
              </m:oMath>
            </m:oMathPara>
          </w:p>
          <w:p w:rsidR="00325309" w:rsidRPr="005D5818" w:rsidRDefault="00325309" w:rsidP="00B9166F">
            <w:pPr>
              <w:jc w:val="both"/>
              <w:rPr>
                <w:rFonts w:ascii="Arial" w:eastAsiaTheme="minorEastAsia" w:hAnsi="Arial" w:cs="Arial"/>
                <w:sz w:val="10"/>
                <w:szCs w:val="10"/>
              </w:rPr>
            </w:pPr>
          </w:p>
          <w:p w:rsidR="00325309" w:rsidRDefault="00617160" w:rsidP="00B9166F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(λ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+α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)t</m:t>
                  </m:r>
                </m:sup>
              </m:sSup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[1-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+αβ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]</m:t>
              </m:r>
            </m:oMath>
            <w:r w:rsidR="00325309" w:rsidRPr="005D5818">
              <w:rPr>
                <w:rFonts w:ascii="Arial" w:eastAsiaTheme="minorEastAsia" w:hAnsi="Arial" w:cs="Arial"/>
                <w:sz w:val="28"/>
                <w:szCs w:val="28"/>
              </w:rPr>
              <w:t>,</w:t>
            </w:r>
          </w:p>
        </w:tc>
        <w:tc>
          <w:tcPr>
            <w:tcW w:w="709" w:type="dxa"/>
            <w:vAlign w:val="center"/>
          </w:tcPr>
          <w:p w:rsidR="00325309" w:rsidRDefault="00325309" w:rsidP="00B9166F">
            <w:pPr>
              <w:jc w:val="right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(2)</w:t>
            </w:r>
          </w:p>
        </w:tc>
      </w:tr>
    </w:tbl>
    <w:p w:rsidR="00325309" w:rsidRPr="00E51522" w:rsidRDefault="00325309" w:rsidP="00325309">
      <w:pPr>
        <w:jc w:val="both"/>
        <w:rPr>
          <w:rFonts w:ascii="Arial" w:eastAsiaTheme="minorEastAsia" w:hAnsi="Arial" w:cs="Arial"/>
          <w:sz w:val="10"/>
          <w:szCs w:val="10"/>
        </w:rPr>
      </w:pPr>
    </w:p>
    <w:p w:rsidR="00325309" w:rsidRDefault="00325309" w:rsidP="00325309">
      <w:pPr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откуда вероятность отказа системы определяется как:</w:t>
      </w:r>
    </w:p>
    <w:p w:rsidR="00325309" w:rsidRPr="00E51522" w:rsidRDefault="00325309" w:rsidP="00325309">
      <w:pPr>
        <w:jc w:val="both"/>
        <w:rPr>
          <w:rFonts w:ascii="Arial" w:eastAsiaTheme="minorEastAsia" w:hAnsi="Arial" w:cs="Arial"/>
          <w:sz w:val="10"/>
          <w:szCs w:val="1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709"/>
      </w:tblGrid>
      <w:tr w:rsidR="00325309" w:rsidTr="00B9166F">
        <w:tc>
          <w:tcPr>
            <w:tcW w:w="8897" w:type="dxa"/>
          </w:tcPr>
          <w:p w:rsidR="00325309" w:rsidRDefault="00325309" w:rsidP="00B9166F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=1-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(t)</m:t>
              </m:r>
            </m:oMath>
            <w:r>
              <w:rPr>
                <w:rFonts w:ascii="Arial" w:eastAsiaTheme="minorEastAsia" w:hAnsi="Arial" w:cs="Arial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25309" w:rsidRDefault="00325309" w:rsidP="00B9166F">
            <w:pPr>
              <w:jc w:val="right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(3)</w:t>
            </w:r>
          </w:p>
        </w:tc>
      </w:tr>
    </w:tbl>
    <w:p w:rsidR="00325309" w:rsidRPr="00E51522" w:rsidRDefault="00325309" w:rsidP="00325309">
      <w:pPr>
        <w:jc w:val="both"/>
        <w:rPr>
          <w:rFonts w:ascii="Arial" w:eastAsiaTheme="minorEastAsia" w:hAnsi="Arial" w:cs="Arial"/>
          <w:sz w:val="10"/>
          <w:szCs w:val="10"/>
        </w:rPr>
      </w:pPr>
    </w:p>
    <w:p w:rsidR="00325309" w:rsidRDefault="00325309" w:rsidP="00325309">
      <w:pPr>
        <w:ind w:firstLine="567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В предельном случае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</w:rPr>
          <m:t>=0</m:t>
        </m:r>
      </m:oMath>
      <w:r>
        <w:rPr>
          <w:rFonts w:ascii="Arial" w:eastAsiaTheme="minorEastAsia" w:hAnsi="Arial" w:cs="Arial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α=1</m:t>
        </m:r>
      </m:oMath>
      <w:r>
        <w:rPr>
          <w:rFonts w:ascii="Arial" w:eastAsiaTheme="minorEastAsia" w:hAnsi="Arial" w:cs="Arial"/>
          <w:sz w:val="28"/>
          <w:szCs w:val="28"/>
        </w:rPr>
        <w:t xml:space="preserve">, имеем: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Arial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-λt</m:t>
            </m:r>
          </m:sup>
        </m:sSup>
      </m:oMath>
      <w:r>
        <w:rPr>
          <w:rFonts w:ascii="Arial" w:eastAsiaTheme="minorEastAsia" w:hAnsi="Arial" w:cs="Arial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Arial"/>
            <w:sz w:val="28"/>
            <w:szCs w:val="28"/>
          </w:rPr>
          <m:t>=0</m:t>
        </m:r>
      </m:oMath>
      <w:r>
        <w:rPr>
          <w:rFonts w:ascii="Arial" w:eastAsiaTheme="minorEastAsia" w:hAnsi="Arial" w:cs="Arial"/>
          <w:sz w:val="28"/>
          <w:szCs w:val="28"/>
        </w:rPr>
        <w:t xml:space="preserve">, то есть,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Arial"/>
            <w:sz w:val="28"/>
            <w:szCs w:val="28"/>
          </w:rPr>
          <m:t>=1-</m:t>
        </m:r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-λt</m:t>
            </m:r>
          </m:sup>
        </m:sSup>
      </m:oMath>
      <w:r>
        <w:rPr>
          <w:rFonts w:ascii="Arial" w:eastAsiaTheme="minorEastAsia" w:hAnsi="Arial" w:cs="Arial"/>
          <w:sz w:val="28"/>
          <w:szCs w:val="28"/>
        </w:rPr>
        <w:t>.</w:t>
      </w:r>
    </w:p>
    <w:p w:rsidR="00325309" w:rsidRPr="001F5F3F" w:rsidRDefault="00325309" w:rsidP="00325309">
      <w:pPr>
        <w:ind w:firstLine="567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Если отказы независимы, и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λ</m:t>
        </m:r>
        <m:r>
          <w:rPr>
            <w:rFonts w:ascii="Cambria Math" w:eastAsiaTheme="minorEastAsia" w:hAnsi="Cambria Math" w:cs="Arial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Arial"/>
            <w:sz w:val="28"/>
            <w:szCs w:val="28"/>
          </w:rPr>
          <m:t>=0,01</m:t>
        </m:r>
      </m:oMath>
      <w:r>
        <w:rPr>
          <w:rFonts w:ascii="Arial" w:eastAsiaTheme="minorEastAsia" w:hAnsi="Arial" w:cs="Arial"/>
          <w:sz w:val="28"/>
          <w:szCs w:val="28"/>
        </w:rPr>
        <w:t xml:space="preserve">, то по (1)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q(t)≈</m:t>
        </m:r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-4</m:t>
            </m:r>
          </m:sup>
        </m:sSup>
      </m:oMath>
      <w:r>
        <w:rPr>
          <w:rFonts w:ascii="Arial" w:eastAsiaTheme="minorEastAsia" w:hAnsi="Arial" w:cs="Arial"/>
          <w:sz w:val="28"/>
          <w:szCs w:val="28"/>
        </w:rPr>
        <w:t xml:space="preserve">. В действительности, по (3) с учётом (2)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q(t)≈</m:t>
        </m:r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-2</m:t>
            </m:r>
          </m:sup>
        </m:sSup>
      </m:oMath>
      <w:r>
        <w:rPr>
          <w:rFonts w:ascii="Arial" w:eastAsiaTheme="minorEastAsia" w:hAnsi="Arial" w:cs="Arial"/>
          <w:sz w:val="28"/>
          <w:szCs w:val="28"/>
        </w:rPr>
        <w:t>.</w:t>
      </w:r>
    </w:p>
    <w:p w:rsidR="00325309" w:rsidRDefault="00325309" w:rsidP="00325309">
      <w:pPr>
        <w:ind w:firstLine="567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Результаты говорят сами за себя. Поэтому</w:t>
      </w:r>
      <w:r w:rsidRPr="007654B3">
        <w:rPr>
          <w:rFonts w:ascii="Arial" w:eastAsiaTheme="minorEastAsia" w:hAnsi="Arial" w:cs="Arial"/>
          <w:sz w:val="28"/>
          <w:szCs w:val="28"/>
        </w:rPr>
        <w:t xml:space="preserve"> необходима проверка условий возможности возникновения катастроф при потере работоспособности объекта электроэнергетики под воздействием некоторого потока поражающих факторов. </w:t>
      </w:r>
      <w:r w:rsidR="00D71395">
        <w:rPr>
          <w:rFonts w:ascii="Arial" w:eastAsiaTheme="minorEastAsia" w:hAnsi="Arial" w:cs="Arial"/>
          <w:sz w:val="28"/>
          <w:szCs w:val="28"/>
        </w:rPr>
        <w:t>…</w:t>
      </w:r>
    </w:p>
    <w:p w:rsidR="00325309" w:rsidRDefault="00325309" w:rsidP="0032530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3332">
        <w:rPr>
          <w:rFonts w:ascii="Arial" w:hAnsi="Arial" w:cs="Arial"/>
          <w:sz w:val="28"/>
          <w:szCs w:val="28"/>
        </w:rPr>
        <w:t xml:space="preserve">Так как маловероятные аварии и катастрофы в ограниченном периоде времени весьма возможны, </w:t>
      </w:r>
      <w:r w:rsidRPr="00DD421E">
        <w:rPr>
          <w:rFonts w:ascii="Arial" w:hAnsi="Arial" w:cs="Arial"/>
          <w:sz w:val="28"/>
          <w:szCs w:val="28"/>
        </w:rPr>
        <w:t>пренебрежение значениями случайных</w:t>
      </w:r>
      <w:r w:rsidRPr="00123332">
        <w:rPr>
          <w:rFonts w:ascii="Arial" w:hAnsi="Arial" w:cs="Arial"/>
          <w:sz w:val="28"/>
          <w:szCs w:val="28"/>
        </w:rPr>
        <w:t xml:space="preserve"> величин, попадающих в «хвост» таких распределений, уже недопустимо. В качестве иллюстрации изложенного</w:t>
      </w:r>
      <w:r>
        <w:rPr>
          <w:rFonts w:ascii="Arial" w:hAnsi="Arial" w:cs="Arial"/>
          <w:sz w:val="28"/>
          <w:szCs w:val="28"/>
        </w:rPr>
        <w:t>,</w:t>
      </w:r>
      <w:r w:rsidRPr="00123332">
        <w:rPr>
          <w:rFonts w:ascii="Arial" w:hAnsi="Arial" w:cs="Arial"/>
          <w:sz w:val="28"/>
          <w:szCs w:val="28"/>
        </w:rPr>
        <w:t xml:space="preserve"> </w:t>
      </w:r>
      <w:r w:rsidRPr="006E24FC">
        <w:rPr>
          <w:rFonts w:ascii="Arial" w:hAnsi="Arial" w:cs="Arial"/>
          <w:sz w:val="28"/>
          <w:szCs w:val="28"/>
        </w:rPr>
        <w:t>на рис. 1</w:t>
      </w:r>
      <w:r w:rsidRPr="00123332">
        <w:rPr>
          <w:rFonts w:ascii="Arial" w:hAnsi="Arial" w:cs="Arial"/>
          <w:sz w:val="28"/>
          <w:szCs w:val="28"/>
        </w:rPr>
        <w:t xml:space="preserve"> показан типичный вид распределений плотностей вероятностей случайной величины при нормальном, экспоненциальном и степенном законах распределения, откуда видно, что «хвост» степенного распределения существенно «тяжелее»</w:t>
      </w:r>
      <w:r>
        <w:rPr>
          <w:rFonts w:ascii="Arial" w:hAnsi="Arial" w:cs="Arial"/>
          <w:sz w:val="28"/>
          <w:szCs w:val="28"/>
        </w:rPr>
        <w:t>, изменяясь очень медленно.</w:t>
      </w:r>
      <w:r w:rsidRPr="00123332">
        <w:rPr>
          <w:rFonts w:ascii="Arial" w:hAnsi="Arial" w:cs="Arial"/>
          <w:sz w:val="28"/>
          <w:szCs w:val="28"/>
        </w:rPr>
        <w:t xml:space="preserve"> </w:t>
      </w:r>
      <w:r w:rsidR="00D71395">
        <w:rPr>
          <w:rFonts w:ascii="Arial" w:hAnsi="Arial" w:cs="Arial"/>
          <w:sz w:val="28"/>
          <w:szCs w:val="28"/>
        </w:rPr>
        <w:t>…</w:t>
      </w:r>
    </w:p>
    <w:p w:rsidR="00325309" w:rsidRPr="00137EA2" w:rsidRDefault="00325309" w:rsidP="00325309">
      <w:pPr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5B7EE2B1" wp14:editId="2DCB7618">
                <wp:extent cx="4762501" cy="2876550"/>
                <wp:effectExtent l="0" t="0" r="0" b="0"/>
                <wp:docPr id="17" name="Group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762501" cy="2876550"/>
                          <a:chOff x="1810" y="3044"/>
                          <a:chExt cx="7780" cy="4430"/>
                        </a:xfrm>
                      </wpg:grpSpPr>
                      <wps:wsp>
                        <wps:cNvPr id="18" name="AutoShape 1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810" y="3164"/>
                            <a:ext cx="7780" cy="4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39" y="3044"/>
                            <a:ext cx="674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309" w:rsidRPr="00510AA9" w:rsidRDefault="00325309" w:rsidP="00325309">
                              <w:pPr>
                                <w:jc w:val="center"/>
                              </w:pPr>
                              <w:r w:rsidRPr="0035706F">
                                <w:rPr>
                                  <w:i/>
                                </w:rPr>
                                <w:t>f</w:t>
                              </w:r>
                              <w:r w:rsidRPr="00510AA9">
                                <w:t>(</w:t>
                              </w:r>
                              <w:r w:rsidRPr="0035706F">
                                <w:rPr>
                                  <w:i/>
                                </w:rPr>
                                <w:t>х</w:t>
                              </w:r>
                              <w:r w:rsidRPr="00510AA9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52" y="6724"/>
                            <a:ext cx="530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309" w:rsidRPr="00510AA9" w:rsidRDefault="00325309" w:rsidP="00325309">
                              <w:pPr>
                                <w:jc w:val="center"/>
                              </w:pPr>
                              <w:r w:rsidRPr="00510AA9"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992" y="6349"/>
                            <a:ext cx="53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309" w:rsidRPr="00510AA9" w:rsidRDefault="00325309" w:rsidP="00325309">
                              <w:pPr>
                                <w:jc w:val="center"/>
                              </w:pPr>
                              <w:r w:rsidRPr="00510AA9"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5376"/>
                            <a:ext cx="530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309" w:rsidRPr="00510AA9" w:rsidRDefault="00325309" w:rsidP="00325309">
                              <w:pPr>
                                <w:jc w:val="center"/>
                              </w:pPr>
                              <w:r w:rsidRPr="00510AA9"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362" y="3856"/>
                            <a:ext cx="5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309" w:rsidRPr="00510AA9" w:rsidRDefault="00325309" w:rsidP="00325309">
                              <w:pPr>
                                <w:jc w:val="center"/>
                              </w:pPr>
                              <w:r w:rsidRPr="00510AA9"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2966" y="3204"/>
                            <a:ext cx="0" cy="3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/>
                        <wps:spPr bwMode="auto">
                          <a:xfrm>
                            <a:off x="2976" y="7044"/>
                            <a:ext cx="59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966" y="3484"/>
                            <a:ext cx="2933" cy="3460"/>
                          </a:xfrm>
                          <a:custGeom>
                            <a:avLst/>
                            <a:gdLst>
                              <a:gd name="T0" fmla="*/ 3100 w 3100"/>
                              <a:gd name="T1" fmla="*/ 3560 h 3560"/>
                              <a:gd name="T2" fmla="*/ 1680 w 3100"/>
                              <a:gd name="T3" fmla="*/ 2960 h 3560"/>
                              <a:gd name="T4" fmla="*/ 740 w 3100"/>
                              <a:gd name="T5" fmla="*/ 1620 h 3560"/>
                              <a:gd name="T6" fmla="*/ 430 w 3100"/>
                              <a:gd name="T7" fmla="*/ 270 h 3560"/>
                              <a:gd name="T8" fmla="*/ 0 w 3100"/>
                              <a:gd name="T9" fmla="*/ 0 h 3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00" h="3560">
                                <a:moveTo>
                                  <a:pt x="3100" y="3560"/>
                                </a:moveTo>
                                <a:cubicBezTo>
                                  <a:pt x="2586" y="3421"/>
                                  <a:pt x="2073" y="3283"/>
                                  <a:pt x="1680" y="2960"/>
                                </a:cubicBezTo>
                                <a:cubicBezTo>
                                  <a:pt x="1287" y="2637"/>
                                  <a:pt x="948" y="2068"/>
                                  <a:pt x="740" y="1620"/>
                                </a:cubicBezTo>
                                <a:cubicBezTo>
                                  <a:pt x="532" y="1172"/>
                                  <a:pt x="553" y="540"/>
                                  <a:pt x="430" y="270"/>
                                </a:cubicBezTo>
                                <a:cubicBezTo>
                                  <a:pt x="307" y="0"/>
                                  <a:pt x="153" y="0"/>
                                  <a:pt x="0" y="0"/>
                                </a:cubicBezTo>
                              </a:path>
                            </a:pathLst>
                          </a:custGeom>
                          <a:ln w="28575" cmpd="sng">
                            <a:prstDash val="sysDash"/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Дуга 28"/>
                        <wps:cNvSpPr>
                          <a:spLocks/>
                        </wps:cNvSpPr>
                        <wps:spPr bwMode="auto">
                          <a:xfrm flipH="1" flipV="1">
                            <a:off x="2966" y="3305"/>
                            <a:ext cx="4980" cy="3639"/>
                          </a:xfrm>
                          <a:custGeom>
                            <a:avLst/>
                            <a:gdLst>
                              <a:gd name="G0" fmla="+- 0 0 0"/>
                              <a:gd name="G1" fmla="+- 21330 0 0"/>
                              <a:gd name="G2" fmla="+- 21600 0 0"/>
                              <a:gd name="T0" fmla="*/ 3406 w 21600"/>
                              <a:gd name="T1" fmla="*/ 0 h 21330"/>
                              <a:gd name="T2" fmla="*/ 21600 w 21600"/>
                              <a:gd name="T3" fmla="*/ 21330 h 21330"/>
                              <a:gd name="T4" fmla="*/ 0 w 21600"/>
                              <a:gd name="T5" fmla="*/ 21330 h 21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330" fill="none" extrusionOk="0">
                                <a:moveTo>
                                  <a:pt x="3405" y="0"/>
                                </a:moveTo>
                                <a:cubicBezTo>
                                  <a:pt x="13887" y="1673"/>
                                  <a:pt x="21600" y="10715"/>
                                  <a:pt x="21600" y="21330"/>
                                </a:cubicBezTo>
                              </a:path>
                              <a:path w="21600" h="21330" stroke="0" extrusionOk="0">
                                <a:moveTo>
                                  <a:pt x="3405" y="0"/>
                                </a:moveTo>
                                <a:cubicBezTo>
                                  <a:pt x="13887" y="1673"/>
                                  <a:pt x="21600" y="10715"/>
                                  <a:pt x="21600" y="21330"/>
                                </a:cubicBezTo>
                                <a:lnTo>
                                  <a:pt x="0" y="21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 rot="6023691" flipH="1">
                            <a:off x="4055" y="2618"/>
                            <a:ext cx="2708" cy="5492"/>
                          </a:xfrm>
                          <a:custGeom>
                            <a:avLst/>
                            <a:gdLst>
                              <a:gd name="T0" fmla="*/ 588 w 5738"/>
                              <a:gd name="T1" fmla="*/ 0 h 3330"/>
                              <a:gd name="T2" fmla="*/ 858 w 5738"/>
                              <a:gd name="T3" fmla="*/ 2660 h 3330"/>
                              <a:gd name="T4" fmla="*/ 5738 w 5738"/>
                              <a:gd name="T5" fmla="*/ 3330 h 3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38" h="3330">
                                <a:moveTo>
                                  <a:pt x="588" y="0"/>
                                </a:moveTo>
                                <a:cubicBezTo>
                                  <a:pt x="294" y="1052"/>
                                  <a:pt x="0" y="2105"/>
                                  <a:pt x="858" y="2660"/>
                                </a:cubicBezTo>
                                <a:cubicBezTo>
                                  <a:pt x="1716" y="3215"/>
                                  <a:pt x="4925" y="3218"/>
                                  <a:pt x="5738" y="3330"/>
                                </a:cubicBez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812" y="6634"/>
                            <a:ext cx="53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309" w:rsidRPr="0035706F" w:rsidRDefault="00325309" w:rsidP="00325309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35706F">
                                <w:rPr>
                                  <w:i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512" y="7084"/>
                            <a:ext cx="69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309" w:rsidRPr="00510AA9" w:rsidRDefault="00325309" w:rsidP="00325309">
                              <w:pPr>
                                <w:jc w:val="center"/>
                              </w:pPr>
                              <w:r w:rsidRPr="00510AA9">
                                <w:t>3σ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"/>
                        <wps:cNvCnPr/>
                        <wps:spPr bwMode="auto">
                          <a:xfrm>
                            <a:off x="5772" y="6419"/>
                            <a:ext cx="1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5773" y="6921"/>
                            <a:ext cx="896" cy="103"/>
                          </a:xfrm>
                          <a:custGeom>
                            <a:avLst/>
                            <a:gdLst>
                              <a:gd name="T0" fmla="*/ 0 w 593"/>
                              <a:gd name="T1" fmla="*/ 0 h 103"/>
                              <a:gd name="T2" fmla="*/ 593 w 593"/>
                              <a:gd name="T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3" h="103">
                                <a:moveTo>
                                  <a:pt x="0" y="0"/>
                                </a:moveTo>
                                <a:cubicBezTo>
                                  <a:pt x="247" y="43"/>
                                  <a:pt x="494" y="86"/>
                                  <a:pt x="593" y="103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EE2B1" id="Group 18" o:spid="_x0000_s1026" style="width:375pt;height:226.5pt;mso-position-horizontal-relative:char;mso-position-vertical-relative:line" coordorigin="1810,3044" coordsize="7780,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">
                <o:lock v:ext="edit" aspectratio="t"/>
                <v:rect id="AutoShape 19" o:spid="_x0000_s1027" style="position:absolute;left:1810;top:3164;width:7780;height:4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<o:lock v:ext="edit" aspectratio="t" text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2239;top:3044;width:674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325309" w:rsidRPr="00510AA9" w:rsidRDefault="00325309" w:rsidP="00325309">
                        <w:pPr>
                          <w:jc w:val="center"/>
                        </w:pPr>
                        <w:r w:rsidRPr="0035706F">
                          <w:rPr>
                            <w:i/>
                          </w:rPr>
                          <w:t>f</w:t>
                        </w:r>
                        <w:r w:rsidRPr="00510AA9">
                          <w:t>(</w:t>
                        </w:r>
                        <w:r w:rsidRPr="0035706F">
                          <w:rPr>
                            <w:i/>
                          </w:rPr>
                          <w:t>х</w:t>
                        </w:r>
                        <w:r w:rsidRPr="00510AA9">
                          <w:t>)</w:t>
                        </w:r>
                      </w:p>
                    </w:txbxContent>
                  </v:textbox>
                </v:shape>
                <v:shape id="Text Box 21" o:spid="_x0000_s1029" type="#_x0000_t202" style="position:absolute;left:2552;top:6724;width:530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325309" w:rsidRPr="00510AA9" w:rsidRDefault="00325309" w:rsidP="00325309">
                        <w:pPr>
                          <w:jc w:val="center"/>
                        </w:pPr>
                        <w:r w:rsidRPr="00510AA9">
                          <w:t>0</w:t>
                        </w:r>
                      </w:p>
                    </w:txbxContent>
                  </v:textbox>
                </v:shape>
                <v:shape id="Text Box 22" o:spid="_x0000_s1030" type="#_x0000_t202" style="position:absolute;left:6992;top:6349;width:5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325309" w:rsidRPr="00510AA9" w:rsidRDefault="00325309" w:rsidP="00325309">
                        <w:pPr>
                          <w:jc w:val="center"/>
                        </w:pPr>
                        <w:r w:rsidRPr="00510AA9">
                          <w:t>3</w:t>
                        </w:r>
                      </w:p>
                    </w:txbxContent>
                  </v:textbox>
                </v:shape>
                <v:shape id="Text Box 23" o:spid="_x0000_s1031" type="#_x0000_t202" style="position:absolute;left:4082;top:5376;width:53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325309" w:rsidRPr="00510AA9" w:rsidRDefault="00325309" w:rsidP="00325309">
                        <w:pPr>
                          <w:jc w:val="center"/>
                        </w:pPr>
                        <w:r w:rsidRPr="00510AA9">
                          <w:t>2</w:t>
                        </w:r>
                      </w:p>
                    </w:txbxContent>
                  </v:textbox>
                </v:shape>
                <v:shape id="Text Box 24" o:spid="_x0000_s1032" type="#_x0000_t202" style="position:absolute;left:3362;top:3856;width:53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325309" w:rsidRPr="00510AA9" w:rsidRDefault="00325309" w:rsidP="00325309">
                        <w:pPr>
                          <w:jc w:val="center"/>
                        </w:pPr>
                        <w:r w:rsidRPr="00510AA9">
                          <w:t>1</w:t>
                        </w:r>
                      </w:p>
                    </w:txbxContent>
                  </v:textbox>
                </v:shape>
                <v:line id="Line 25" o:spid="_x0000_s1033" style="position:absolute;visibility:visible;mso-wrap-style:square" from="2966,3204" to="2966,7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6" o:spid="_x0000_s1034" style="position:absolute;visibility:visible;mso-wrap-style:square" from="2976,7044" to="8916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shape id="Freeform 27" o:spid="_x0000_s1035" style="position:absolute;left:2966;top:3484;width:2933;height:3460;visibility:visible;mso-wrap-style:square;v-text-anchor:top" coordsize="3100,3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SAMUA&#10;AADbAAAADwAAAGRycy9kb3ducmV2LnhtbESPT2sCMRTE70K/Q3gFbzVbaa2uRqnKogeh/r0/Nq+7&#10;Szcv2yTV9dsboeBxmJnfMJNZa2pxJucrywpeewkI4tzqigsFx0P2MgThA7LG2jIpuJKH2fSpM8FU&#10;2wvv6LwPhYgQ9ikqKENoUil9XpJB37MNcfS+rTMYonSF1A4vEW5q2U+SgTRYcVwosaFFSfnP/s8o&#10;eHvXxeAr21zn2Xa++B2uDic3WirVfW4/xyACteER/m+vtYL+B9y/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0hIAxQAAANsAAAAPAAAAAAAAAAAAAAAAAJgCAABkcnMv&#10;ZG93bnJldi54bWxQSwUGAAAAAAQABAD1AAAAigMAAAAA&#10;" path="m3100,3560c2586,3421,2073,3283,1680,2960,1287,2637,948,2068,740,1620,532,1172,553,540,430,270,307,,153,,,e" filled="f" strokecolor="black [3200]" strokeweight="2.25pt">
                  <v:stroke dashstyle="3 1" joinstyle="miter"/>
                  <v:path arrowok="t" o:connecttype="custom" o:connectlocs="2933,3460;1589,2877;700,1574;407,262;0,0" o:connectangles="0,0,0,0,0"/>
                </v:shape>
                <v:shape id="Дуга 28" o:spid="_x0000_s1036" style="position:absolute;left:2966;top:3305;width:4980;height:3639;flip:x y;visibility:visible;mso-wrap-style:square;v-text-anchor:top" coordsize="21600,2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KAMIA&#10;AADbAAAADwAAAGRycy9kb3ducmV2LnhtbERPTUvDQBC9C/6HZQRvdpMKRWK3QZSCFj2YVHqdZsck&#10;mp0Nu2Ob9te7B8Hj430vy8kN6kAh9p4N5LMMFHHjbc+tgW29vrkDFQXZ4uCZDJwoQrm6vFhiYf2R&#10;3+lQSatSCMcCDXQiY6F1bDpyGGd+JE7cpw8OJcHQahvwmMLdoOdZttAOe04NHY702FHzXf04A7L+&#10;qj42Lxt6C2fZ326f6td8dzbm+mp6uAclNMm/+M/9bA3M09j0Jf0A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soAwgAAANsAAAAPAAAAAAAAAAAAAAAAAJgCAABkcnMvZG93&#10;bnJldi54bWxQSwUGAAAAAAQABAD1AAAAhwMAAAAA&#10;" path="m3405,nfc13887,1673,21600,10715,21600,21330em3405,nsc13887,1673,21600,10715,21600,21330l,21330,3405,xe" filled="f" strokeweight="1.5pt">
                  <v:stroke dashstyle="longDash"/>
                  <v:path arrowok="t" o:extrusionok="f" o:connecttype="custom" o:connectlocs="785,0;4980,3639;0,3639" o:connectangles="0,0,0"/>
                </v:shape>
                <v:shape id="Freeform 29" o:spid="_x0000_s1037" style="position:absolute;left:4055;top:2618;width:2708;height:5492;rotation:-6579477fd;flip:x;visibility:visible;mso-wrap-style:square;v-text-anchor:top" coordsize="5738,3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mil8MA&#10;AADbAAAADwAAAGRycy9kb3ducmV2LnhtbESPQWvCQBSE7wX/w/IEL0E3BiqauooIQq+aant8zT6T&#10;YPZt2N3G+O/dQqHHYWa+YdbbwbSiJ+cbywrmsxQEcWl1w5WCj+IwXYLwAVlja5kUPMjDdjN6WWOu&#10;7Z2P1J9CJSKEfY4K6hC6XEpf1mTQz2xHHL2rdQZDlK6S2uE9wk0rszRdSIMNx4UaO9rXVN5OP0aB&#10;+7pcz32yK5LvRfF6y+aMQ/Kp1GQ87N5ABBrCf/iv/a4VZCv4/R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mil8MAAADbAAAADwAAAAAAAAAAAAAAAACYAgAAZHJzL2Rv&#10;d25yZXYueG1sUEsFBgAAAAAEAAQA9QAAAIgDAAAAAA==&#10;" path="m588,c294,1052,,2105,858,2660v858,555,4067,558,4880,670e" filled="f" strokecolor="black [3200]" strokeweight="1pt">
                  <v:stroke joinstyle="miter"/>
                  <v:path arrowok="t" o:connecttype="custom" o:connectlocs="278,0;405,4387;2708,5492" o:connectangles="0,0,0"/>
                </v:shape>
                <v:shape id="Text Box 30" o:spid="_x0000_s1038" type="#_x0000_t202" style="position:absolute;left:8812;top:6634;width:53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325309" w:rsidRPr="0035706F" w:rsidRDefault="00325309" w:rsidP="00325309">
                        <w:pPr>
                          <w:jc w:val="center"/>
                          <w:rPr>
                            <w:i/>
                          </w:rPr>
                        </w:pPr>
                        <w:r w:rsidRPr="0035706F">
                          <w:rPr>
                            <w:i/>
                          </w:rPr>
                          <w:t>х</w:t>
                        </w:r>
                      </w:p>
                    </w:txbxContent>
                  </v:textbox>
                </v:shape>
                <v:shape id="Text Box 31" o:spid="_x0000_s1039" type="#_x0000_t202" style="position:absolute;left:5512;top:7084;width:69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325309" w:rsidRPr="00510AA9" w:rsidRDefault="00325309" w:rsidP="00325309">
                        <w:pPr>
                          <w:jc w:val="center"/>
                        </w:pPr>
                        <w:r w:rsidRPr="00510AA9">
                          <w:t>3σ</w:t>
                        </w:r>
                      </w:p>
                    </w:txbxContent>
                  </v:textbox>
                </v:shape>
                <v:line id="Line 32" o:spid="_x0000_s1040" style="position:absolute;visibility:visible;mso-wrap-style:square" from="5772,6419" to="5773,7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shape id="Freeform 33" o:spid="_x0000_s1041" style="position:absolute;left:5773;top:6921;width:896;height:103;visibility:visible;mso-wrap-style:square;v-text-anchor:top" coordsize="59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ZHcMA&#10;AADbAAAADwAAAGRycy9kb3ducmV2LnhtbESPzWrDMBCE74W8g9hCLiWR60AJTpQQCgYfcmn6c95Y&#10;G8vUWjmSYjtvXxUKPQ4z3wyz3U+2EwP50DpW8LzMQBDXTrfcKPh4LxdrECEia+wck4I7BdjvZg9b&#10;LLQb+Y2GU2xEKuFQoAITY19IGWpDFsPS9cTJuzhvMSbpG6k9jqncdjLPshdpseW0YLCnV0P19+lm&#10;FazWmXuqPv2XGY7dlfKy0fX5oNT8cTpsQESa4n/4j6504lbw+yX9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4ZHcMAAADbAAAADwAAAAAAAAAAAAAAAACYAgAAZHJzL2Rv&#10;d25yZXYueG1sUEsFBgAAAAAEAAQA9QAAAIgDAAAAAA==&#10;" path="m,c247,43,494,86,593,103e" filled="f" strokeweight="2.25pt">
                  <v:stroke dashstyle="dash"/>
                  <v:path arrowok="t" o:connecttype="custom" o:connectlocs="0,0;896,103" o:connectangles="0,0"/>
                </v:shape>
                <w10:anchorlock/>
              </v:group>
            </w:pict>
          </mc:Fallback>
        </mc:AlternateContent>
      </w:r>
    </w:p>
    <w:p w:rsidR="00325309" w:rsidRPr="00FA1D84" w:rsidRDefault="00325309" w:rsidP="003253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Рис. </w:t>
      </w:r>
      <w:r w:rsidRPr="00CE1C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</w:t>
      </w:r>
      <w:r w:rsidRPr="00CE1C9A">
        <w:rPr>
          <w:rFonts w:ascii="Arial" w:hAnsi="Arial" w:cs="Arial"/>
        </w:rPr>
        <w:t xml:space="preserve"> Сравнительные плотности нормального – 1, экспоненциального – 2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CE1C9A">
        <w:rPr>
          <w:rFonts w:ascii="Arial" w:hAnsi="Arial" w:cs="Arial"/>
        </w:rPr>
        <w:t>степенного – 3 законов распределения случайной величины</w:t>
      </w:r>
      <w:r>
        <w:rPr>
          <w:rFonts w:ascii="Arial" w:hAnsi="Arial" w:cs="Arial"/>
        </w:rPr>
        <w:t>.</w:t>
      </w:r>
    </w:p>
    <w:p w:rsidR="00325309" w:rsidRDefault="00325309" w:rsidP="00325309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325309" w:rsidRDefault="00325309" w:rsidP="00325309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Сравнительные результаты</w:t>
      </w:r>
    </w:p>
    <w:p w:rsidR="00325309" w:rsidRDefault="00325309" w:rsidP="0032530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80EF1">
        <w:rPr>
          <w:rFonts w:ascii="Arial" w:hAnsi="Arial" w:cs="Arial"/>
          <w:sz w:val="28"/>
          <w:szCs w:val="28"/>
        </w:rPr>
        <w:t>Для иллюстрации катастрофических нелинейных эффектов в литературе приводятся данные по результатам природных стихийных явлений</w:t>
      </w:r>
      <w:r>
        <w:rPr>
          <w:rFonts w:ascii="Arial" w:hAnsi="Arial" w:cs="Arial"/>
          <w:sz w:val="28"/>
          <w:szCs w:val="28"/>
        </w:rPr>
        <w:t xml:space="preserve">. </w:t>
      </w:r>
      <w:r w:rsidRPr="00856504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ряде публикаций [</w:t>
      </w:r>
      <w:r w:rsidRPr="006E24F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,</w:t>
      </w:r>
      <w:r w:rsidRPr="006E24FC">
        <w:rPr>
          <w:rFonts w:ascii="Arial" w:hAnsi="Arial" w:cs="Arial"/>
          <w:sz w:val="28"/>
          <w:szCs w:val="28"/>
        </w:rPr>
        <w:t>7,10,11</w:t>
      </w:r>
      <w:r>
        <w:rPr>
          <w:rFonts w:ascii="Arial" w:hAnsi="Arial" w:cs="Arial"/>
          <w:sz w:val="28"/>
          <w:szCs w:val="28"/>
        </w:rPr>
        <w:t xml:space="preserve">] проведены расчёты вероятностей возникновения катастрофических событий, связанных с экстремальными наводнениями в соответствии со степенным и гамма-распределением вероятностей. Сравнение их представлено таблицей 1. </w:t>
      </w:r>
    </w:p>
    <w:p w:rsidR="00325309" w:rsidRDefault="00325309" w:rsidP="00325309">
      <w:pPr>
        <w:rPr>
          <w:rFonts w:ascii="Arial" w:hAnsi="Arial" w:cs="Arial"/>
        </w:rPr>
      </w:pPr>
    </w:p>
    <w:p w:rsidR="00325309" w:rsidRDefault="00325309" w:rsidP="00325309">
      <w:pPr>
        <w:rPr>
          <w:rFonts w:ascii="Arial" w:hAnsi="Arial" w:cs="Arial"/>
        </w:rPr>
      </w:pPr>
      <w:r w:rsidRPr="0013507F">
        <w:rPr>
          <w:rFonts w:ascii="Arial" w:hAnsi="Arial" w:cs="Arial"/>
        </w:rPr>
        <w:t>Таблица 1.</w:t>
      </w:r>
      <w:r>
        <w:rPr>
          <w:rFonts w:ascii="Arial" w:hAnsi="Arial" w:cs="Arial"/>
        </w:rPr>
        <w:t xml:space="preserve"> </w:t>
      </w:r>
      <w:r w:rsidRPr="0013507F">
        <w:rPr>
          <w:rFonts w:ascii="Arial" w:hAnsi="Arial" w:cs="Arial"/>
        </w:rPr>
        <w:t>Расчётные вероятности аномальных событий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918"/>
        <w:gridCol w:w="1313"/>
        <w:gridCol w:w="1313"/>
        <w:gridCol w:w="1311"/>
        <w:gridCol w:w="1460"/>
        <w:gridCol w:w="1313"/>
      </w:tblGrid>
      <w:tr w:rsidR="00325309" w:rsidRPr="00137EA2" w:rsidTr="00B9166F">
        <w:tc>
          <w:tcPr>
            <w:tcW w:w="1515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Объект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1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3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4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5</w:t>
            </w:r>
          </w:p>
        </w:tc>
      </w:tr>
      <w:tr w:rsidR="00325309" w:rsidRPr="00137EA2" w:rsidTr="00B9166F">
        <w:tc>
          <w:tcPr>
            <w:tcW w:w="1515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Гамма-р</w:t>
            </w:r>
            <w:r>
              <w:rPr>
                <w:rFonts w:ascii="Arial" w:hAnsi="Arial" w:cs="Arial"/>
              </w:rPr>
              <w:t>аспределение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0,00005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0,00036</w:t>
            </w:r>
          </w:p>
        </w:tc>
        <w:tc>
          <w:tcPr>
            <w:tcW w:w="681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0,001</w:t>
            </w:r>
          </w:p>
        </w:tc>
        <w:tc>
          <w:tcPr>
            <w:tcW w:w="758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0</w:t>
            </w:r>
            <w:r w:rsidRPr="00137EA2">
              <w:rPr>
                <w:rFonts w:ascii="Arial" w:hAnsi="Arial" w:cs="Arial"/>
              </w:rPr>
              <w:t>25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0,000036</w:t>
            </w:r>
          </w:p>
        </w:tc>
      </w:tr>
      <w:tr w:rsidR="00325309" w:rsidRPr="00137EA2" w:rsidTr="00B9166F">
        <w:tc>
          <w:tcPr>
            <w:tcW w:w="1515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Степенное</w:t>
            </w:r>
          </w:p>
        </w:tc>
        <w:tc>
          <w:tcPr>
            <w:tcW w:w="682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0,015</w:t>
            </w:r>
          </w:p>
        </w:tc>
        <w:tc>
          <w:tcPr>
            <w:tcW w:w="682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0,0039</w:t>
            </w:r>
          </w:p>
        </w:tc>
        <w:tc>
          <w:tcPr>
            <w:tcW w:w="681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0,059</w:t>
            </w:r>
          </w:p>
        </w:tc>
        <w:tc>
          <w:tcPr>
            <w:tcW w:w="758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0,009</w:t>
            </w:r>
          </w:p>
        </w:tc>
        <w:tc>
          <w:tcPr>
            <w:tcW w:w="682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0,012</w:t>
            </w:r>
          </w:p>
        </w:tc>
      </w:tr>
      <w:tr w:rsidR="00325309" w:rsidRPr="00137EA2" w:rsidTr="00B9166F">
        <w:tc>
          <w:tcPr>
            <w:tcW w:w="1515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Объект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25309" w:rsidRPr="00137EA2" w:rsidTr="00B9166F">
        <w:tc>
          <w:tcPr>
            <w:tcW w:w="1515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Гамма-р</w:t>
            </w:r>
            <w:r>
              <w:rPr>
                <w:rFonts w:ascii="Arial" w:hAnsi="Arial" w:cs="Arial"/>
              </w:rPr>
              <w:t>аспределение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0,00011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0,0015</w:t>
            </w:r>
          </w:p>
        </w:tc>
        <w:tc>
          <w:tcPr>
            <w:tcW w:w="681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0,0055</w:t>
            </w:r>
          </w:p>
        </w:tc>
        <w:tc>
          <w:tcPr>
            <w:tcW w:w="758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0,0019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325309" w:rsidRPr="00137EA2" w:rsidTr="00B9166F">
        <w:tc>
          <w:tcPr>
            <w:tcW w:w="1515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Степенное</w:t>
            </w:r>
          </w:p>
        </w:tc>
        <w:tc>
          <w:tcPr>
            <w:tcW w:w="682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 w:rsidRPr="00137EA2">
              <w:rPr>
                <w:rFonts w:ascii="Arial" w:hAnsi="Arial" w:cs="Arial"/>
              </w:rPr>
              <w:t>0,098</w:t>
            </w:r>
          </w:p>
        </w:tc>
        <w:tc>
          <w:tcPr>
            <w:tcW w:w="682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  <w:tc>
          <w:tcPr>
            <w:tcW w:w="681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0,026</w:t>
            </w:r>
          </w:p>
        </w:tc>
        <w:tc>
          <w:tcPr>
            <w:tcW w:w="758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0,0114</w:t>
            </w:r>
          </w:p>
        </w:tc>
        <w:tc>
          <w:tcPr>
            <w:tcW w:w="682" w:type="pct"/>
            <w:tcBorders>
              <w:top w:val="nil"/>
            </w:tcBorders>
            <w:vAlign w:val="center"/>
          </w:tcPr>
          <w:p w:rsidR="00325309" w:rsidRPr="00137EA2" w:rsidRDefault="00325309" w:rsidP="00B91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0,029</w:t>
            </w:r>
          </w:p>
        </w:tc>
      </w:tr>
    </w:tbl>
    <w:p w:rsidR="00325309" w:rsidRPr="00E71441" w:rsidRDefault="00325309" w:rsidP="00325309">
      <w:pPr>
        <w:jc w:val="both"/>
        <w:rPr>
          <w:rFonts w:ascii="Arial" w:hAnsi="Arial" w:cs="Arial"/>
          <w:sz w:val="10"/>
          <w:szCs w:val="10"/>
        </w:rPr>
      </w:pPr>
    </w:p>
    <w:p w:rsidR="00325309" w:rsidRPr="001414E3" w:rsidRDefault="00325309" w:rsidP="00325309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</w:p>
    <w:p w:rsidR="00325309" w:rsidRDefault="00325309" w:rsidP="00325309">
      <w:pPr>
        <w:shd w:val="clear" w:color="auto" w:fill="FFFFFF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B375DB">
        <w:rPr>
          <w:rFonts w:ascii="Arial" w:hAnsi="Arial" w:cs="Arial"/>
          <w:b/>
          <w:sz w:val="28"/>
          <w:szCs w:val="28"/>
        </w:rPr>
        <w:t>Заключение</w:t>
      </w:r>
    </w:p>
    <w:p w:rsidR="00325309" w:rsidRPr="006E24FC" w:rsidRDefault="00325309" w:rsidP="00325309">
      <w:pPr>
        <w:shd w:val="clear" w:color="auto" w:fill="FFFFFF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6E24FC">
        <w:rPr>
          <w:rFonts w:ascii="Arial" w:hAnsi="Arial" w:cs="Arial"/>
          <w:sz w:val="28"/>
          <w:szCs w:val="28"/>
        </w:rPr>
        <w:t xml:space="preserve">Предложения, изложенные в настоящей работе, открывают перспективу дальнейшего исследования чрезвычайно важной проблемы оценки </w:t>
      </w:r>
      <w:r w:rsidRPr="006E24FC">
        <w:rPr>
          <w:rFonts w:ascii="Arial" w:hAnsi="Arial" w:cs="Arial"/>
          <w:bCs/>
          <w:sz w:val="28"/>
          <w:szCs w:val="28"/>
        </w:rPr>
        <w:t>вероятностей редких событий и катастроф в электроэнергетике.</w:t>
      </w:r>
      <w:r w:rsidRPr="006E24FC">
        <w:rPr>
          <w:rFonts w:ascii="Arial" w:hAnsi="Arial" w:cs="Arial"/>
          <w:b/>
          <w:bCs/>
          <w:sz w:val="28"/>
          <w:szCs w:val="28"/>
        </w:rPr>
        <w:t xml:space="preserve"> </w:t>
      </w:r>
      <w:r w:rsidRPr="00390D49">
        <w:rPr>
          <w:rFonts w:ascii="Arial" w:hAnsi="Arial" w:cs="Arial"/>
          <w:sz w:val="28"/>
          <w:szCs w:val="28"/>
        </w:rPr>
        <w:t>Временные ряды, характеризующиеся медленным уменьшением числа редких событий следует представлять степенным рас</w:t>
      </w:r>
      <w:r>
        <w:rPr>
          <w:rFonts w:ascii="Arial" w:hAnsi="Arial" w:cs="Arial"/>
          <w:sz w:val="28"/>
          <w:szCs w:val="28"/>
        </w:rPr>
        <w:t xml:space="preserve">пределением. </w:t>
      </w:r>
      <w:r w:rsidRPr="006E24FC">
        <w:rPr>
          <w:rFonts w:ascii="Arial" w:hAnsi="Arial" w:cs="Arial"/>
          <w:sz w:val="28"/>
          <w:szCs w:val="28"/>
        </w:rPr>
        <w:t xml:space="preserve">Статистика, описываемая степенным распределением, констатирует: </w:t>
      </w:r>
      <w:r w:rsidR="00D71395">
        <w:rPr>
          <w:rFonts w:ascii="Arial" w:hAnsi="Arial" w:cs="Arial"/>
          <w:sz w:val="28"/>
          <w:szCs w:val="28"/>
        </w:rPr>
        <w:t>…</w:t>
      </w:r>
    </w:p>
    <w:p w:rsidR="00325309" w:rsidRPr="00390D49" w:rsidRDefault="00325309" w:rsidP="00325309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325309" w:rsidRPr="008B4501" w:rsidRDefault="00325309" w:rsidP="00325309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8B4501">
        <w:rPr>
          <w:rFonts w:ascii="Arial" w:hAnsi="Arial" w:cs="Arial"/>
          <w:b/>
          <w:sz w:val="28"/>
          <w:szCs w:val="28"/>
        </w:rPr>
        <w:t>Литература</w:t>
      </w:r>
    </w:p>
    <w:p w:rsidR="00325309" w:rsidRPr="008B4501" w:rsidRDefault="00325309" w:rsidP="003560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1. Куклев Е.А. Определение рисков возникновения опасных сближений морских судов в аварийных ситуациях путём прогнозирования нечётких «окон уязвимости». Транспорт Российской Федерации. №4 (65) 2016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</w:t>
      </w:r>
      <w:r w:rsidR="00F82384">
        <w:rPr>
          <w:rFonts w:ascii="Arial" w:hAnsi="Arial" w:cs="Arial"/>
          <w:sz w:val="28"/>
          <w:szCs w:val="28"/>
        </w:rPr>
        <w:t>с</w:t>
      </w:r>
      <w:r w:rsidRPr="008B4501">
        <w:rPr>
          <w:rFonts w:ascii="Arial" w:hAnsi="Arial" w:cs="Arial"/>
          <w:sz w:val="28"/>
          <w:szCs w:val="28"/>
        </w:rPr>
        <w:t xml:space="preserve">. 28–31. </w:t>
      </w:r>
    </w:p>
    <w:p w:rsidR="00325309" w:rsidRPr="008B4501" w:rsidRDefault="00325309" w:rsidP="003560C0">
      <w:pPr>
        <w:pStyle w:val="a8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lastRenderedPageBreak/>
        <w:t>2. Папков Б.В., Куликов А.Л. Теория систем и системный анализ для электроэнергетиков. М.: Издательство Юрайт, 2016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470 с.</w:t>
      </w:r>
    </w:p>
    <w:p w:rsidR="00325309" w:rsidRPr="008B4501" w:rsidRDefault="00325309" w:rsidP="003560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3. Снижение рисков каскадных аварий в электроэнергетических системах. Новосибирск: Изд-во СО РАН, 2011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303 с.</w:t>
      </w:r>
    </w:p>
    <w:p w:rsidR="00325309" w:rsidRPr="008B4501" w:rsidRDefault="00325309" w:rsidP="003560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4. Волик Б.Г. О концепциях техногенной безопасности. Автом</w:t>
      </w:r>
      <w:r w:rsidR="00F82384">
        <w:rPr>
          <w:rFonts w:ascii="Arial" w:hAnsi="Arial" w:cs="Arial"/>
          <w:sz w:val="28"/>
          <w:szCs w:val="28"/>
        </w:rPr>
        <w:t>атика и телемеханика, 1998, № 2, с</w:t>
      </w:r>
      <w:r w:rsidRPr="008B4501">
        <w:rPr>
          <w:rFonts w:ascii="Arial" w:hAnsi="Arial" w:cs="Arial"/>
          <w:sz w:val="28"/>
          <w:szCs w:val="28"/>
        </w:rPr>
        <w:t>. 165–170.</w:t>
      </w:r>
    </w:p>
    <w:p w:rsidR="00325309" w:rsidRPr="008B4501" w:rsidRDefault="00325309" w:rsidP="003560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5. Прангишвили И.В. Системный подход и повышение эффективности управления. М.: Наука, 2005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422 с.</w:t>
      </w:r>
    </w:p>
    <w:p w:rsidR="00325309" w:rsidRPr="008B4501" w:rsidRDefault="00325309" w:rsidP="003560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6. Чура Н.Н. Техногенный риск. М.: КНОРУС, 2015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280 с.</w:t>
      </w:r>
    </w:p>
    <w:p w:rsidR="00325309" w:rsidRPr="008B4501" w:rsidRDefault="00325309" w:rsidP="003560C0">
      <w:pPr>
        <w:pStyle w:val="a8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7. Шоломицкий А.Г. Теория риска. Выбор при неопределённости и моделирование риска. М.: Изд. Дом ГУ ВШЭ, 2005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400 с. </w:t>
      </w:r>
    </w:p>
    <w:p w:rsidR="00325309" w:rsidRPr="008B4501" w:rsidRDefault="00325309" w:rsidP="003560C0">
      <w:pPr>
        <w:pStyle w:val="a8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8. Шор Я.Б., Кузьмин Ф.И. Таблицы для анализа и контроля надёжности. М.: Изд-во «Советское радио», 1968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288 с.</w:t>
      </w:r>
    </w:p>
    <w:p w:rsidR="00325309" w:rsidRPr="008B4501" w:rsidRDefault="00325309" w:rsidP="003560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9. Коваленко И.Н., Кузнецов Н.Ю. Методы расчёта высоконадёжных систем. М.: Радио и связь, 1988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175 с.</w:t>
      </w:r>
    </w:p>
    <w:p w:rsidR="00325309" w:rsidRPr="008B4501" w:rsidRDefault="00325309" w:rsidP="003560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10. Найдёнов И.И., Кожевникова И.А. Почему так часто происходят наводнения? Природа, 2003, №9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</w:t>
      </w:r>
      <w:r w:rsidR="00F82384">
        <w:rPr>
          <w:rFonts w:ascii="Arial" w:hAnsi="Arial" w:cs="Arial"/>
          <w:sz w:val="28"/>
          <w:szCs w:val="28"/>
        </w:rPr>
        <w:t>с</w:t>
      </w:r>
      <w:r w:rsidRPr="008B4501">
        <w:rPr>
          <w:rFonts w:ascii="Arial" w:hAnsi="Arial" w:cs="Arial"/>
          <w:sz w:val="28"/>
          <w:szCs w:val="28"/>
        </w:rPr>
        <w:t>. 12–20.</w:t>
      </w:r>
    </w:p>
    <w:p w:rsidR="00325309" w:rsidRDefault="00325309" w:rsidP="003560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B4501">
        <w:rPr>
          <w:rFonts w:ascii="Arial" w:hAnsi="Arial" w:cs="Arial"/>
          <w:sz w:val="28"/>
          <w:szCs w:val="28"/>
        </w:rPr>
        <w:t>11. Гумбель Э. Статистика экстремальных значений. М.: Мир, 1965</w:t>
      </w:r>
      <w:r w:rsidR="00F82384">
        <w:rPr>
          <w:rFonts w:ascii="Arial" w:hAnsi="Arial" w:cs="Arial"/>
          <w:sz w:val="28"/>
          <w:szCs w:val="28"/>
        </w:rPr>
        <w:t>,</w:t>
      </w:r>
      <w:r w:rsidRPr="008B4501">
        <w:rPr>
          <w:rFonts w:ascii="Arial" w:hAnsi="Arial" w:cs="Arial"/>
          <w:sz w:val="28"/>
          <w:szCs w:val="28"/>
        </w:rPr>
        <w:t xml:space="preserve"> 451 с.</w:t>
      </w:r>
    </w:p>
    <w:p w:rsidR="00952B9B" w:rsidRPr="00B94B85" w:rsidRDefault="00952B9B" w:rsidP="00325309">
      <w:pPr>
        <w:suppressAutoHyphens/>
        <w:rPr>
          <w:rFonts w:ascii="Arial" w:eastAsia="Calibri" w:hAnsi="Arial" w:cs="Arial"/>
          <w:sz w:val="28"/>
          <w:szCs w:val="28"/>
        </w:rPr>
      </w:pPr>
    </w:p>
    <w:sectPr w:rsidR="00952B9B" w:rsidRPr="00B94B85" w:rsidSect="00F455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60" w:rsidRDefault="00617160">
      <w:r>
        <w:separator/>
      </w:r>
    </w:p>
  </w:endnote>
  <w:endnote w:type="continuationSeparator" w:id="0">
    <w:p w:rsidR="00617160" w:rsidRDefault="0061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60" w:rsidRDefault="00617160">
      <w:r>
        <w:separator/>
      </w:r>
    </w:p>
  </w:footnote>
  <w:footnote w:type="continuationSeparator" w:id="0">
    <w:p w:rsidR="00617160" w:rsidRDefault="00617160">
      <w:r>
        <w:continuationSeparator/>
      </w:r>
    </w:p>
  </w:footnote>
  <w:footnote w:id="1">
    <w:p w:rsidR="00325309" w:rsidRPr="00E86CE1" w:rsidRDefault="00325309" w:rsidP="00325309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 w:rsidRPr="006F7E2B">
        <w:rPr>
          <w:rStyle w:val="a6"/>
          <w:rFonts w:ascii="Arial" w:hAnsi="Arial" w:cs="Arial"/>
          <w:sz w:val="24"/>
          <w:szCs w:val="24"/>
        </w:rPr>
        <w:t>*</w:t>
      </w:r>
      <w:r w:rsidRPr="006F7E2B">
        <w:rPr>
          <w:rFonts w:ascii="Arial" w:hAnsi="Arial" w:cs="Arial"/>
          <w:sz w:val="24"/>
          <w:szCs w:val="24"/>
        </w:rPr>
        <w:t xml:space="preserve"> Нижегородский государственный инженерно-экономический университет, г. Княгинино, </w:t>
      </w:r>
      <w:r>
        <w:rPr>
          <w:rFonts w:ascii="Arial" w:hAnsi="Arial" w:cs="Arial"/>
          <w:sz w:val="24"/>
          <w:szCs w:val="24"/>
        </w:rPr>
        <w:t>Н</w:t>
      </w:r>
      <w:r w:rsidRPr="006F7E2B">
        <w:rPr>
          <w:rFonts w:ascii="Arial" w:hAnsi="Arial" w:cs="Arial"/>
          <w:sz w:val="24"/>
          <w:szCs w:val="24"/>
        </w:rPr>
        <w:t>ижегородская обл., Россия, e-mail</w:t>
      </w:r>
      <w:r w:rsidRPr="00E86CE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1" w:history="1">
        <w:r w:rsidRPr="00E86CE1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boris.papkov@gmail.com</w:t>
        </w:r>
      </w:hyperlink>
      <w:r w:rsidRPr="00E86CE1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hyperlink r:id="rId2" w:history="1">
        <w:r w:rsidRPr="00E86CE1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osokinvl@mail.ru</w:t>
        </w:r>
      </w:hyperlink>
      <w:r w:rsidRPr="00E86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</w:footnote>
  <w:footnote w:id="2">
    <w:p w:rsidR="00325309" w:rsidRPr="00E86CE1" w:rsidRDefault="00325309" w:rsidP="00325309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 w:rsidRPr="00E86CE1">
        <w:rPr>
          <w:rStyle w:val="a6"/>
          <w:rFonts w:ascii="Arial" w:hAnsi="Arial" w:cs="Arial"/>
          <w:color w:val="000000" w:themeColor="text1"/>
          <w:sz w:val="24"/>
          <w:szCs w:val="24"/>
        </w:rPr>
        <w:t>**</w:t>
      </w:r>
      <w:r w:rsidRPr="00E86CE1">
        <w:rPr>
          <w:rFonts w:ascii="Arial" w:hAnsi="Arial" w:cs="Arial"/>
          <w:color w:val="000000" w:themeColor="text1"/>
          <w:sz w:val="24"/>
          <w:szCs w:val="24"/>
        </w:rPr>
        <w:t xml:space="preserve"> Нижегородский государственный технический университет им. Р.Е. Алексеева, г. Нижний Новгород, Россия, e-mail: </w:t>
      </w:r>
      <w:hyperlink r:id="rId3" w:history="1">
        <w:r w:rsidRPr="00E86CE1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inventor61@mail.ru</w:t>
        </w:r>
      </w:hyperlink>
      <w:r w:rsidRPr="00E86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</w:footnote>
  <w:footnote w:id="3">
    <w:p w:rsidR="00325309" w:rsidRPr="00E86CE1" w:rsidRDefault="00325309" w:rsidP="00325309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 w:rsidRPr="006F7E2B">
        <w:rPr>
          <w:rStyle w:val="a6"/>
          <w:rFonts w:ascii="Arial" w:hAnsi="Arial" w:cs="Arial"/>
          <w:sz w:val="24"/>
          <w:szCs w:val="24"/>
        </w:rPr>
        <w:t>*</w:t>
      </w:r>
      <w:r w:rsidRPr="006F7E2B">
        <w:rPr>
          <w:rFonts w:ascii="Arial" w:hAnsi="Arial" w:cs="Arial"/>
          <w:sz w:val="24"/>
          <w:szCs w:val="24"/>
        </w:rPr>
        <w:t xml:space="preserve"> Нижегородский государственный инженерно-экономический университет, г. Княгинино, </w:t>
      </w:r>
      <w:r>
        <w:rPr>
          <w:rFonts w:ascii="Arial" w:hAnsi="Arial" w:cs="Arial"/>
          <w:sz w:val="24"/>
          <w:szCs w:val="24"/>
        </w:rPr>
        <w:t>Н</w:t>
      </w:r>
      <w:r w:rsidRPr="006F7E2B">
        <w:rPr>
          <w:rFonts w:ascii="Arial" w:hAnsi="Arial" w:cs="Arial"/>
          <w:sz w:val="24"/>
          <w:szCs w:val="24"/>
        </w:rPr>
        <w:t>ижегородская обл., Россия, e-mail</w:t>
      </w:r>
      <w:r w:rsidRPr="00E86CE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4" w:history="1">
        <w:r w:rsidRPr="00E86CE1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boris.papkov@gmail.com</w:t>
        </w:r>
      </w:hyperlink>
      <w:r w:rsidRPr="00E86CE1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hyperlink r:id="rId5" w:history="1">
        <w:r w:rsidRPr="00E86CE1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osokinvl@mail.ru</w:t>
        </w:r>
      </w:hyperlink>
      <w:r w:rsidRPr="00E86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3"/>
      <w:numFmt w:val="decimal"/>
      <w:lvlText w:val="Ãëàâà %1. "/>
      <w:legacy w:legacy="1" w:legacySpace="0" w:legacyIndent="0"/>
      <w:lvlJc w:val="left"/>
    </w:lvl>
    <w:lvl w:ilvl="1">
      <w:start w:val="1"/>
      <w:numFmt w:val="none"/>
      <w:lvlText w:val=" "/>
      <w:legacy w:legacy="1" w:legacySpace="0" w:legacyIndent="0"/>
      <w:lvlJc w:val="left"/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pStyle w:val="9"/>
      <w:lvlText w:val=" "/>
      <w:legacy w:legacy="1" w:legacySpace="0" w:legacyIndent="0"/>
      <w:lvlJc w:val="left"/>
    </w:lvl>
  </w:abstractNum>
  <w:abstractNum w:abstractNumId="1">
    <w:nsid w:val="06D53A8B"/>
    <w:multiLevelType w:val="hybridMultilevel"/>
    <w:tmpl w:val="51CEA15A"/>
    <w:lvl w:ilvl="0" w:tplc="AB8CC8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4E6062"/>
    <w:multiLevelType w:val="hybridMultilevel"/>
    <w:tmpl w:val="A4B670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D31868"/>
    <w:multiLevelType w:val="hybridMultilevel"/>
    <w:tmpl w:val="E93413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75139B4"/>
    <w:multiLevelType w:val="hybridMultilevel"/>
    <w:tmpl w:val="C4C699E0"/>
    <w:lvl w:ilvl="0" w:tplc="8F02E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085A06"/>
    <w:multiLevelType w:val="hybridMultilevel"/>
    <w:tmpl w:val="ACEEA5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292B05"/>
    <w:multiLevelType w:val="hybridMultilevel"/>
    <w:tmpl w:val="CAA248A8"/>
    <w:lvl w:ilvl="0" w:tplc="90E08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ED4B1B"/>
    <w:multiLevelType w:val="multilevel"/>
    <w:tmpl w:val="0AC6D2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647BD3"/>
    <w:multiLevelType w:val="multilevel"/>
    <w:tmpl w:val="5824EF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39E40CE4"/>
    <w:multiLevelType w:val="hybridMultilevel"/>
    <w:tmpl w:val="4D80BF48"/>
    <w:lvl w:ilvl="0" w:tplc="21FAC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094035"/>
    <w:multiLevelType w:val="hybridMultilevel"/>
    <w:tmpl w:val="CBAAE0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45825875"/>
    <w:multiLevelType w:val="hybridMultilevel"/>
    <w:tmpl w:val="96DE2CBC"/>
    <w:lvl w:ilvl="0" w:tplc="AB8CC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24F30"/>
    <w:multiLevelType w:val="hybridMultilevel"/>
    <w:tmpl w:val="CD72359E"/>
    <w:lvl w:ilvl="0" w:tplc="3FB6B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D527CD"/>
    <w:multiLevelType w:val="hybridMultilevel"/>
    <w:tmpl w:val="1FFC4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170940"/>
    <w:multiLevelType w:val="hybridMultilevel"/>
    <w:tmpl w:val="0AC6D264"/>
    <w:lvl w:ilvl="0" w:tplc="F306E2DA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F03DCC"/>
    <w:multiLevelType w:val="hybridMultilevel"/>
    <w:tmpl w:val="D690F4A2"/>
    <w:lvl w:ilvl="0" w:tplc="6D40D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E444B"/>
    <w:multiLevelType w:val="hybridMultilevel"/>
    <w:tmpl w:val="5BD67C0E"/>
    <w:lvl w:ilvl="0" w:tplc="1674CE86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D2B50"/>
    <w:multiLevelType w:val="hybridMultilevel"/>
    <w:tmpl w:val="D21657C6"/>
    <w:lvl w:ilvl="0" w:tplc="B660FD9A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EB7F58"/>
    <w:multiLevelType w:val="hybridMultilevel"/>
    <w:tmpl w:val="A4B40452"/>
    <w:lvl w:ilvl="0" w:tplc="90E08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324A0C"/>
    <w:multiLevelType w:val="hybridMultilevel"/>
    <w:tmpl w:val="FCA4B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930661"/>
    <w:multiLevelType w:val="multilevel"/>
    <w:tmpl w:val="5824EF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7BA65CF3"/>
    <w:multiLevelType w:val="hybridMultilevel"/>
    <w:tmpl w:val="DA243A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14"/>
  </w:num>
  <w:num w:numId="5">
    <w:abstractNumId w:val="7"/>
  </w:num>
  <w:num w:numId="6">
    <w:abstractNumId w:val="10"/>
  </w:num>
  <w:num w:numId="7">
    <w:abstractNumId w:val="19"/>
  </w:num>
  <w:num w:numId="8">
    <w:abstractNumId w:val="21"/>
  </w:num>
  <w:num w:numId="9">
    <w:abstractNumId w:val="16"/>
  </w:num>
  <w:num w:numId="10">
    <w:abstractNumId w:val="5"/>
  </w:num>
  <w:num w:numId="11">
    <w:abstractNumId w:val="0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9"/>
  </w:num>
  <w:num w:numId="17">
    <w:abstractNumId w:val="12"/>
  </w:num>
  <w:num w:numId="18">
    <w:abstractNumId w:val="20"/>
  </w:num>
  <w:num w:numId="19">
    <w:abstractNumId w:val="8"/>
  </w:num>
  <w:num w:numId="20">
    <w:abstractNumId w:val="6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09"/>
    <w:rsid w:val="00061713"/>
    <w:rsid w:val="001100A2"/>
    <w:rsid w:val="00113FA5"/>
    <w:rsid w:val="00116010"/>
    <w:rsid w:val="00120104"/>
    <w:rsid w:val="0014459A"/>
    <w:rsid w:val="00153E97"/>
    <w:rsid w:val="00154102"/>
    <w:rsid w:val="001800CD"/>
    <w:rsid w:val="00186C23"/>
    <w:rsid w:val="001A4D0D"/>
    <w:rsid w:val="001D1E1C"/>
    <w:rsid w:val="001D75DA"/>
    <w:rsid w:val="0020457E"/>
    <w:rsid w:val="00222FA1"/>
    <w:rsid w:val="002522EC"/>
    <w:rsid w:val="002C1792"/>
    <w:rsid w:val="002D05AF"/>
    <w:rsid w:val="00325309"/>
    <w:rsid w:val="00352674"/>
    <w:rsid w:val="003560C0"/>
    <w:rsid w:val="00360FDD"/>
    <w:rsid w:val="00365793"/>
    <w:rsid w:val="00413CCB"/>
    <w:rsid w:val="00461E14"/>
    <w:rsid w:val="00476E4D"/>
    <w:rsid w:val="004965C7"/>
    <w:rsid w:val="004B313D"/>
    <w:rsid w:val="004C6173"/>
    <w:rsid w:val="00523BDB"/>
    <w:rsid w:val="005C188C"/>
    <w:rsid w:val="00617160"/>
    <w:rsid w:val="006315F9"/>
    <w:rsid w:val="00640EED"/>
    <w:rsid w:val="00656EA3"/>
    <w:rsid w:val="006A72DF"/>
    <w:rsid w:val="006B65B2"/>
    <w:rsid w:val="006C13F0"/>
    <w:rsid w:val="006C7F65"/>
    <w:rsid w:val="006D0A68"/>
    <w:rsid w:val="006D67E9"/>
    <w:rsid w:val="0070416E"/>
    <w:rsid w:val="007700D5"/>
    <w:rsid w:val="00773154"/>
    <w:rsid w:val="007D24A9"/>
    <w:rsid w:val="007D5E21"/>
    <w:rsid w:val="00806F6C"/>
    <w:rsid w:val="0081760E"/>
    <w:rsid w:val="00824C88"/>
    <w:rsid w:val="00824F3C"/>
    <w:rsid w:val="00862DF9"/>
    <w:rsid w:val="008974F1"/>
    <w:rsid w:val="008A4732"/>
    <w:rsid w:val="008B464E"/>
    <w:rsid w:val="008B67E8"/>
    <w:rsid w:val="008D54DC"/>
    <w:rsid w:val="008E6C7A"/>
    <w:rsid w:val="008E6DA3"/>
    <w:rsid w:val="0092458A"/>
    <w:rsid w:val="00925305"/>
    <w:rsid w:val="00934148"/>
    <w:rsid w:val="00952B9B"/>
    <w:rsid w:val="009929DC"/>
    <w:rsid w:val="00994409"/>
    <w:rsid w:val="009C3D01"/>
    <w:rsid w:val="00A00C14"/>
    <w:rsid w:val="00A121CB"/>
    <w:rsid w:val="00A26A91"/>
    <w:rsid w:val="00A26DFA"/>
    <w:rsid w:val="00A97014"/>
    <w:rsid w:val="00AA52CC"/>
    <w:rsid w:val="00AC5770"/>
    <w:rsid w:val="00AC5A2C"/>
    <w:rsid w:val="00AD0295"/>
    <w:rsid w:val="00AE30F4"/>
    <w:rsid w:val="00AE7041"/>
    <w:rsid w:val="00B17879"/>
    <w:rsid w:val="00B317C3"/>
    <w:rsid w:val="00B70C65"/>
    <w:rsid w:val="00B816D5"/>
    <w:rsid w:val="00B94B85"/>
    <w:rsid w:val="00BA7A0C"/>
    <w:rsid w:val="00BB4F4C"/>
    <w:rsid w:val="00BF056D"/>
    <w:rsid w:val="00BF4DF1"/>
    <w:rsid w:val="00C26F55"/>
    <w:rsid w:val="00C41856"/>
    <w:rsid w:val="00C56C87"/>
    <w:rsid w:val="00C62D6F"/>
    <w:rsid w:val="00C6374C"/>
    <w:rsid w:val="00C94506"/>
    <w:rsid w:val="00CA5198"/>
    <w:rsid w:val="00CE39DA"/>
    <w:rsid w:val="00D57D58"/>
    <w:rsid w:val="00D71395"/>
    <w:rsid w:val="00D74903"/>
    <w:rsid w:val="00DB0BF8"/>
    <w:rsid w:val="00DB7FF6"/>
    <w:rsid w:val="00DC262C"/>
    <w:rsid w:val="00DE0852"/>
    <w:rsid w:val="00DF52FF"/>
    <w:rsid w:val="00E02FB1"/>
    <w:rsid w:val="00E30516"/>
    <w:rsid w:val="00E84C5B"/>
    <w:rsid w:val="00EA74FB"/>
    <w:rsid w:val="00EB3FFD"/>
    <w:rsid w:val="00EC6A83"/>
    <w:rsid w:val="00EF4182"/>
    <w:rsid w:val="00F4551F"/>
    <w:rsid w:val="00F4789A"/>
    <w:rsid w:val="00F631A6"/>
    <w:rsid w:val="00F66D41"/>
    <w:rsid w:val="00F82384"/>
    <w:rsid w:val="00F8696A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0FD458-3940-49C8-8944-85E87648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5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56EA3"/>
    <w:pPr>
      <w:keepNext/>
      <w:shd w:val="clear" w:color="auto" w:fill="008080"/>
      <w:spacing w:before="240" w:after="60"/>
      <w:outlineLvl w:val="0"/>
    </w:pPr>
    <w:rPr>
      <w:rFonts w:ascii="Arial" w:hAnsi="Arial" w:cs="Arial"/>
      <w:b/>
      <w:bCs/>
      <w:color w:val="FFFFFF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56EA3"/>
    <w:pPr>
      <w:keepNext/>
      <w:spacing w:before="240" w:after="60"/>
      <w:outlineLvl w:val="2"/>
    </w:pPr>
    <w:rPr>
      <w:rFonts w:ascii="Arial" w:hAnsi="Arial" w:cs="Arial"/>
      <w:b/>
      <w:bCs/>
      <w:color w:val="000080"/>
      <w:sz w:val="26"/>
      <w:szCs w:val="26"/>
    </w:rPr>
  </w:style>
  <w:style w:type="paragraph" w:styleId="9">
    <w:name w:val="heading 9"/>
    <w:basedOn w:val="a"/>
    <w:next w:val="a"/>
    <w:link w:val="90"/>
    <w:qFormat/>
    <w:locked/>
    <w:rsid w:val="00656EA3"/>
    <w:pPr>
      <w:numPr>
        <w:ilvl w:val="8"/>
        <w:numId w:val="1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"/>
    <w:basedOn w:val="a"/>
    <w:semiHidden/>
    <w:rsid w:val="00DE0852"/>
    <w:pPr>
      <w:ind w:firstLine="540"/>
      <w:jc w:val="both"/>
    </w:pPr>
    <w:rPr>
      <w:i/>
      <w:iCs/>
      <w:sz w:val="22"/>
      <w:szCs w:val="20"/>
    </w:rPr>
  </w:style>
  <w:style w:type="paragraph" w:styleId="a4">
    <w:name w:val="footnote text"/>
    <w:basedOn w:val="a"/>
    <w:link w:val="a5"/>
    <w:uiPriority w:val="99"/>
    <w:rsid w:val="00DE0852"/>
    <w:rPr>
      <w:sz w:val="20"/>
      <w:szCs w:val="20"/>
    </w:rPr>
  </w:style>
  <w:style w:type="character" w:styleId="a6">
    <w:name w:val="footnote reference"/>
    <w:uiPriority w:val="99"/>
    <w:rsid w:val="00DE0852"/>
    <w:rPr>
      <w:vertAlign w:val="superscript"/>
    </w:rPr>
  </w:style>
  <w:style w:type="paragraph" w:styleId="2">
    <w:name w:val="Body Text Indent 2"/>
    <w:basedOn w:val="a"/>
    <w:semiHidden/>
    <w:rsid w:val="00DE0852"/>
    <w:pPr>
      <w:ind w:firstLine="567"/>
      <w:jc w:val="both"/>
    </w:pPr>
    <w:rPr>
      <w:rFonts w:ascii="Arial" w:hAnsi="Arial" w:cs="Arial"/>
      <w:sz w:val="28"/>
      <w:szCs w:val="28"/>
    </w:rPr>
  </w:style>
  <w:style w:type="character" w:styleId="a7">
    <w:name w:val="Hyperlink"/>
    <w:rsid w:val="00AC577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76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656EA3"/>
    <w:rPr>
      <w:rFonts w:ascii="Arial" w:hAnsi="Arial" w:cs="Arial"/>
      <w:b/>
      <w:bCs/>
      <w:color w:val="FFFFFF"/>
      <w:kern w:val="32"/>
      <w:sz w:val="32"/>
      <w:szCs w:val="32"/>
      <w:shd w:val="clear" w:color="auto" w:fill="008080"/>
    </w:rPr>
  </w:style>
  <w:style w:type="character" w:customStyle="1" w:styleId="30">
    <w:name w:val="Заголовок 3 Знак"/>
    <w:link w:val="3"/>
    <w:semiHidden/>
    <w:rsid w:val="00656EA3"/>
    <w:rPr>
      <w:rFonts w:ascii="Arial" w:hAnsi="Arial" w:cs="Arial"/>
      <w:b/>
      <w:bCs/>
      <w:color w:val="000080"/>
      <w:sz w:val="26"/>
      <w:szCs w:val="26"/>
    </w:rPr>
  </w:style>
  <w:style w:type="character" w:customStyle="1" w:styleId="90">
    <w:name w:val="Заголовок 9 Знак"/>
    <w:link w:val="9"/>
    <w:rsid w:val="00656EA3"/>
    <w:rPr>
      <w:rFonts w:ascii="Arial" w:hAnsi="Arial"/>
      <w:i/>
      <w:sz w:val="18"/>
    </w:rPr>
  </w:style>
  <w:style w:type="character" w:customStyle="1" w:styleId="a5">
    <w:name w:val="Текст сноски Знак"/>
    <w:link w:val="a4"/>
    <w:uiPriority w:val="99"/>
    <w:rsid w:val="00656EA3"/>
  </w:style>
  <w:style w:type="paragraph" w:customStyle="1" w:styleId="11">
    <w:name w:val="Текст примечания1"/>
    <w:basedOn w:val="a"/>
    <w:uiPriority w:val="5"/>
    <w:qFormat/>
    <w:rsid w:val="00656EA3"/>
    <w:pPr>
      <w:spacing w:after="120" w:line="288" w:lineRule="auto"/>
    </w:pPr>
    <w:rPr>
      <w:rFonts w:ascii="Calibri" w:hAnsi="Calibri"/>
      <w:sz w:val="20"/>
      <w:szCs w:val="20"/>
      <w:lang w:eastAsia="en-US"/>
    </w:rPr>
  </w:style>
  <w:style w:type="paragraph" w:styleId="a9">
    <w:name w:val="Title"/>
    <w:basedOn w:val="a"/>
    <w:link w:val="aa"/>
    <w:qFormat/>
    <w:locked/>
    <w:rsid w:val="00656EA3"/>
    <w:pPr>
      <w:widowControl w:val="0"/>
      <w:jc w:val="center"/>
    </w:pPr>
    <w:rPr>
      <w:b/>
      <w:snapToGrid w:val="0"/>
      <w:sz w:val="20"/>
      <w:szCs w:val="20"/>
      <w:lang w:val="en-US"/>
    </w:rPr>
  </w:style>
  <w:style w:type="character" w:customStyle="1" w:styleId="aa">
    <w:name w:val="Название Знак"/>
    <w:link w:val="a9"/>
    <w:rsid w:val="00656EA3"/>
    <w:rPr>
      <w:b/>
      <w:snapToGrid w:val="0"/>
      <w:lang w:val="en-US"/>
    </w:rPr>
  </w:style>
  <w:style w:type="table" w:styleId="ab">
    <w:name w:val="Table Grid"/>
    <w:basedOn w:val="a1"/>
    <w:uiPriority w:val="59"/>
    <w:locked/>
    <w:rsid w:val="00656EA3"/>
    <w:rPr>
      <w:rFonts w:ascii="Calibri" w:eastAsia="Calibri" w:hAnsi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unhideWhenUsed/>
    <w:rsid w:val="00656EA3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656EA3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56EA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656EA3"/>
    <w:rPr>
      <w:rFonts w:ascii="Calibri" w:eastAsia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656EA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f1">
    <w:name w:val="Нижний колонтитул Знак"/>
    <w:link w:val="af0"/>
    <w:uiPriority w:val="99"/>
    <w:rsid w:val="00656EA3"/>
    <w:rPr>
      <w:rFonts w:ascii="Calibri" w:eastAsia="Calibri" w:hAnsi="Calibri"/>
      <w:sz w:val="22"/>
      <w:szCs w:val="22"/>
    </w:rPr>
  </w:style>
  <w:style w:type="character" w:styleId="af2">
    <w:name w:val="annotation reference"/>
    <w:uiPriority w:val="99"/>
    <w:unhideWhenUsed/>
    <w:rsid w:val="00656EA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56EA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656EA3"/>
    <w:rPr>
      <w:rFonts w:ascii="Calibri" w:eastAsia="Calibri" w:hAnsi="Calibri"/>
    </w:rPr>
  </w:style>
  <w:style w:type="paragraph" w:styleId="af5">
    <w:name w:val="annotation subject"/>
    <w:basedOn w:val="af3"/>
    <w:next w:val="af3"/>
    <w:link w:val="af6"/>
    <w:uiPriority w:val="99"/>
    <w:unhideWhenUsed/>
    <w:rsid w:val="00656EA3"/>
    <w:rPr>
      <w:b/>
      <w:bCs/>
    </w:rPr>
  </w:style>
  <w:style w:type="character" w:customStyle="1" w:styleId="af6">
    <w:name w:val="Тема примечания Знак"/>
    <w:link w:val="af5"/>
    <w:uiPriority w:val="99"/>
    <w:rsid w:val="00656EA3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nventor61@mail.ru" TargetMode="External"/><Relationship Id="rId2" Type="http://schemas.openxmlformats.org/officeDocument/2006/relationships/hyperlink" Target="mailto:osokinvl@mail.ru" TargetMode="External"/><Relationship Id="rId1" Type="http://schemas.openxmlformats.org/officeDocument/2006/relationships/hyperlink" Target="mailto:boris.papkov@gmail.com" TargetMode="External"/><Relationship Id="rId5" Type="http://schemas.openxmlformats.org/officeDocument/2006/relationships/hyperlink" Target="mailto:osokinvl@mail.ru" TargetMode="External"/><Relationship Id="rId4" Type="http://schemas.openxmlformats.org/officeDocument/2006/relationships/hyperlink" Target="mailto:boris.pap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статьи</vt:lpstr>
    </vt:vector>
  </TitlesOfParts>
  <Company>*</Company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статьи</dc:title>
  <dc:subject/>
  <dc:creator>ilv</dc:creator>
  <cp:keywords/>
  <dc:description/>
  <cp:lastModifiedBy>Larisa</cp:lastModifiedBy>
  <cp:revision>2</cp:revision>
  <cp:lastPrinted>2017-10-26T10:52:00Z</cp:lastPrinted>
  <dcterms:created xsi:type="dcterms:W3CDTF">2020-02-04T11:54:00Z</dcterms:created>
  <dcterms:modified xsi:type="dcterms:W3CDTF">2020-02-04T11:54:00Z</dcterms:modified>
</cp:coreProperties>
</file>